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F17" w:rsidRDefault="00F23F17" w:rsidP="00F23F17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>TABELA NR 1</w:t>
      </w:r>
      <w:r w:rsidR="00105D08">
        <w:rPr>
          <w:rFonts w:ascii="TimesNewRomanPS-BoldMT" w:hAnsi="TimesNewRomanPS-BoldMT" w:cs="TimesNewRomanPS-BoldMT"/>
          <w:b/>
          <w:bCs/>
          <w:sz w:val="18"/>
          <w:szCs w:val="18"/>
        </w:rPr>
        <w:t>4</w:t>
      </w:r>
      <w:bookmarkStart w:id="0" w:name="_GoBack"/>
      <w:bookmarkEnd w:id="0"/>
    </w:p>
    <w:p w:rsidR="00F23F17" w:rsidRDefault="00F23F17" w:rsidP="00F23F17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>Istotne pozycje rozliczeń międzyokresowych</w:t>
      </w:r>
    </w:p>
    <w:p w:rsidR="00F23F17" w:rsidRDefault="00F23F17" w:rsidP="00F23F17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7230"/>
        <w:gridCol w:w="2817"/>
        <w:gridCol w:w="2818"/>
      </w:tblGrid>
      <w:tr w:rsidR="00F23F17" w:rsidTr="00F23F17">
        <w:tc>
          <w:tcPr>
            <w:tcW w:w="1129" w:type="dxa"/>
            <w:vMerge w:val="restart"/>
          </w:tcPr>
          <w:p w:rsidR="00F23F17" w:rsidRDefault="00F23F17" w:rsidP="00F23F17">
            <w:pPr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7230" w:type="dxa"/>
            <w:vMerge w:val="restart"/>
          </w:tcPr>
          <w:p w:rsidR="00F23F17" w:rsidRPr="00F23F17" w:rsidRDefault="00F23F17" w:rsidP="00F23F17">
            <w:pPr>
              <w:jc w:val="center"/>
              <w:rPr>
                <w:sz w:val="20"/>
              </w:rPr>
            </w:pPr>
            <w:r w:rsidRPr="00F23F17">
              <w:rPr>
                <w:rFonts w:ascii="TimesNewRomanPS-BoldMT" w:hAnsi="TimesNewRomanPS-BoldMT" w:cs="TimesNewRomanPS-BoldMT"/>
                <w:b/>
                <w:bCs/>
                <w:sz w:val="20"/>
                <w:szCs w:val="18"/>
              </w:rPr>
              <w:t>Wyszczególnienie (tytuły)</w:t>
            </w:r>
          </w:p>
        </w:tc>
        <w:tc>
          <w:tcPr>
            <w:tcW w:w="5635" w:type="dxa"/>
            <w:gridSpan w:val="2"/>
          </w:tcPr>
          <w:p w:rsidR="00F23F17" w:rsidRDefault="00F23F17" w:rsidP="00F23F17">
            <w:pPr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Stan na</w:t>
            </w:r>
          </w:p>
        </w:tc>
      </w:tr>
      <w:tr w:rsidR="00F23F17" w:rsidTr="005B75B5">
        <w:tc>
          <w:tcPr>
            <w:tcW w:w="1129" w:type="dxa"/>
            <w:vMerge/>
          </w:tcPr>
          <w:p w:rsidR="00F23F17" w:rsidRDefault="00F23F17" w:rsidP="00F23F17">
            <w:pPr>
              <w:jc w:val="center"/>
            </w:pPr>
          </w:p>
        </w:tc>
        <w:tc>
          <w:tcPr>
            <w:tcW w:w="7230" w:type="dxa"/>
            <w:vMerge/>
          </w:tcPr>
          <w:p w:rsidR="00F23F17" w:rsidRPr="00F23F17" w:rsidRDefault="00F23F17" w:rsidP="00F23F17">
            <w:pPr>
              <w:jc w:val="center"/>
              <w:rPr>
                <w:sz w:val="20"/>
              </w:rPr>
            </w:pPr>
          </w:p>
        </w:tc>
        <w:tc>
          <w:tcPr>
            <w:tcW w:w="2817" w:type="dxa"/>
          </w:tcPr>
          <w:p w:rsidR="00F23F17" w:rsidRDefault="00F23F17" w:rsidP="00F23F17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początek</w:t>
            </w:r>
          </w:p>
          <w:p w:rsidR="00F23F17" w:rsidRDefault="00F23F17" w:rsidP="00F23F17">
            <w:pPr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roku obrotowego</w:t>
            </w:r>
          </w:p>
        </w:tc>
        <w:tc>
          <w:tcPr>
            <w:tcW w:w="2818" w:type="dxa"/>
          </w:tcPr>
          <w:p w:rsidR="00F23F17" w:rsidRDefault="00F23F17" w:rsidP="00F23F17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koniec</w:t>
            </w:r>
          </w:p>
          <w:p w:rsidR="00F23F17" w:rsidRDefault="00F23F17" w:rsidP="00F23F17">
            <w:pPr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roku obrotowego</w:t>
            </w:r>
          </w:p>
        </w:tc>
      </w:tr>
      <w:tr w:rsidR="00F23F17" w:rsidTr="005B75B5">
        <w:tc>
          <w:tcPr>
            <w:tcW w:w="1129" w:type="dxa"/>
          </w:tcPr>
          <w:p w:rsidR="00F23F17" w:rsidRDefault="00F23F17" w:rsidP="00F23F17">
            <w:r>
              <w:t>1</w:t>
            </w:r>
          </w:p>
        </w:tc>
        <w:tc>
          <w:tcPr>
            <w:tcW w:w="7230" w:type="dxa"/>
          </w:tcPr>
          <w:p w:rsidR="00F23F17" w:rsidRDefault="00F23F17" w:rsidP="00F23F1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Ogółem czynne rozliczenia międzyokresowe kosztów (aktywa bilansu – B.IV), w tym:</w:t>
            </w:r>
          </w:p>
          <w:p w:rsidR="00F23F17" w:rsidRDefault="00F23F17" w:rsidP="00F23F1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(należy wyszczególnić ważniejsze tytuły figurujące w księgach rachunkowych, np.:</w:t>
            </w:r>
          </w:p>
          <w:p w:rsidR="00F23F17" w:rsidRDefault="00F23F17" w:rsidP="00F23F1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– opłacone z góry czynsze</w:t>
            </w:r>
          </w:p>
          <w:p w:rsidR="00F23F17" w:rsidRDefault="00F23F17" w:rsidP="00F23F1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– prenumeraty</w:t>
            </w:r>
          </w:p>
          <w:p w:rsidR="00F23F17" w:rsidRPr="00F23F17" w:rsidRDefault="00F23F17" w:rsidP="00F23F17">
            <w:pPr>
              <w:rPr>
                <w:sz w:val="20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– polisy ubezpieczenia osób i składników majątku</w:t>
            </w:r>
          </w:p>
        </w:tc>
        <w:tc>
          <w:tcPr>
            <w:tcW w:w="2817" w:type="dxa"/>
          </w:tcPr>
          <w:p w:rsidR="00F23F17" w:rsidRDefault="00F23F17" w:rsidP="00F23F17"/>
        </w:tc>
        <w:tc>
          <w:tcPr>
            <w:tcW w:w="2818" w:type="dxa"/>
          </w:tcPr>
          <w:p w:rsidR="00F23F17" w:rsidRDefault="00F23F17" w:rsidP="00F23F17"/>
        </w:tc>
      </w:tr>
      <w:tr w:rsidR="00F23F17" w:rsidTr="005B75B5">
        <w:tc>
          <w:tcPr>
            <w:tcW w:w="1129" w:type="dxa"/>
          </w:tcPr>
          <w:p w:rsidR="00F23F17" w:rsidRDefault="00F23F17" w:rsidP="00F23F17">
            <w:r>
              <w:t>2</w:t>
            </w:r>
          </w:p>
        </w:tc>
        <w:tc>
          <w:tcPr>
            <w:tcW w:w="7230" w:type="dxa"/>
          </w:tcPr>
          <w:p w:rsidR="00F23F17" w:rsidRDefault="00F23F17" w:rsidP="00F23F1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Ogółem rozliczenia międzyokresowe przychodów (pasywa bilansu – poz. E, w tym:</w:t>
            </w:r>
          </w:p>
          <w:p w:rsidR="00F23F17" w:rsidRDefault="00F23F17" w:rsidP="00F23F1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(należy wyszczególnić ważniejsze tytuły figurujące w księgach rachunkowych, np.:</w:t>
            </w:r>
          </w:p>
          <w:p w:rsidR="00F23F17" w:rsidRDefault="00F23F17" w:rsidP="00F23F1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– ujemna wartość firmy</w:t>
            </w:r>
          </w:p>
          <w:p w:rsidR="00F23F17" w:rsidRDefault="00F23F17" w:rsidP="00F23F1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– wielkość dotacji na budowę środków trwałych, na prace rozwojowe</w:t>
            </w:r>
          </w:p>
          <w:p w:rsidR="00F23F17" w:rsidRPr="00F23F17" w:rsidRDefault="00F23F17" w:rsidP="00F23F17">
            <w:pPr>
              <w:rPr>
                <w:sz w:val="20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– wartość nieodpłatnie otrzymanych środków trwałych</w:t>
            </w:r>
          </w:p>
        </w:tc>
        <w:tc>
          <w:tcPr>
            <w:tcW w:w="2817" w:type="dxa"/>
          </w:tcPr>
          <w:p w:rsidR="00F23F17" w:rsidRDefault="00F23F17" w:rsidP="00F23F17"/>
        </w:tc>
        <w:tc>
          <w:tcPr>
            <w:tcW w:w="2818" w:type="dxa"/>
          </w:tcPr>
          <w:p w:rsidR="00F23F17" w:rsidRDefault="00F23F17" w:rsidP="00F23F17"/>
        </w:tc>
      </w:tr>
    </w:tbl>
    <w:p w:rsidR="00F23F17" w:rsidRPr="00F23F17" w:rsidRDefault="00F23F17" w:rsidP="00F23F17"/>
    <w:sectPr w:rsidR="00F23F17" w:rsidRPr="00F23F17" w:rsidSect="00F23F1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F17"/>
    <w:rsid w:val="00105D08"/>
    <w:rsid w:val="00F2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629D3B-994D-4F94-B0BA-67ECD6C8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23F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Jakubowska</dc:creator>
  <cp:keywords/>
  <dc:description/>
  <cp:lastModifiedBy>SKARBNIK</cp:lastModifiedBy>
  <cp:revision>2</cp:revision>
  <dcterms:created xsi:type="dcterms:W3CDTF">2018-12-16T20:39:00Z</dcterms:created>
  <dcterms:modified xsi:type="dcterms:W3CDTF">2019-02-12T10:57:00Z</dcterms:modified>
</cp:coreProperties>
</file>