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pl-PL"/>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rPr>
        <w:t>Załącznik do Zarządzenia Nr</w:t>
      </w:r>
      <w:r>
        <w:rPr>
          <w:rFonts w:hint="default"/>
          <w:bCs/>
          <w:lang w:val="pl-PL"/>
        </w:rPr>
        <w:t xml:space="preserve"> 78/2023</w:t>
      </w:r>
    </w:p>
    <w:p>
      <w:pPr>
        <w:ind w:firstLine="4920" w:firstLineChars="2050"/>
      </w:pPr>
      <w:r>
        <w:rPr>
          <w:bCs/>
        </w:rPr>
        <w:t>Wójta Gminy Damnica</w:t>
      </w:r>
    </w:p>
    <w:p>
      <w:r>
        <w:rPr>
          <w:bCs/>
        </w:rPr>
        <w:tab/>
      </w:r>
      <w:r>
        <w:rPr>
          <w:bCs/>
        </w:rPr>
        <w:tab/>
      </w:r>
      <w:r>
        <w:rPr>
          <w:bCs/>
        </w:rPr>
        <w:tab/>
      </w:r>
      <w:r>
        <w:rPr>
          <w:bCs/>
        </w:rPr>
        <w:tab/>
      </w:r>
      <w:r>
        <w:rPr>
          <w:bCs/>
        </w:rPr>
        <w:tab/>
      </w:r>
      <w:r>
        <w:rPr>
          <w:bCs/>
        </w:rPr>
        <w:tab/>
      </w:r>
      <w:r>
        <w:rPr>
          <w:bCs/>
        </w:rPr>
        <w:tab/>
      </w:r>
      <w:r>
        <w:rPr>
          <w:bCs/>
        </w:rPr>
        <w:t xml:space="preserve">z dnia </w:t>
      </w:r>
      <w:r>
        <w:rPr>
          <w:rFonts w:hint="default"/>
          <w:bCs/>
          <w:lang w:val="pl-PL"/>
        </w:rPr>
        <w:t>01.06.</w:t>
      </w:r>
      <w:bookmarkStart w:id="0" w:name="_GoBack"/>
      <w:bookmarkEnd w:id="0"/>
      <w:r>
        <w:rPr>
          <w:bCs/>
        </w:rPr>
        <w:t>2023  r.</w:t>
      </w:r>
    </w:p>
    <w:p>
      <w:pPr>
        <w:jc w:val="center"/>
        <w:rPr>
          <w:b/>
          <w:bCs/>
          <w:sz w:val="26"/>
          <w:szCs w:val="26"/>
        </w:rPr>
      </w:pPr>
    </w:p>
    <w:p>
      <w:pPr>
        <w:jc w:val="center"/>
        <w:rPr>
          <w:b/>
          <w:bCs/>
          <w:sz w:val="26"/>
          <w:szCs w:val="26"/>
        </w:rPr>
      </w:pPr>
    </w:p>
    <w:p>
      <w:pPr>
        <w:jc w:val="center"/>
        <w:rPr>
          <w:b/>
          <w:sz w:val="28"/>
          <w:szCs w:val="28"/>
        </w:rPr>
      </w:pPr>
      <w:r>
        <w:rPr>
          <w:b/>
          <w:bCs/>
          <w:sz w:val="28"/>
          <w:szCs w:val="28"/>
        </w:rPr>
        <w:t xml:space="preserve">Regulamin funkcjonowania monitoringu wizyjnego budynku </w:t>
      </w:r>
    </w:p>
    <w:p>
      <w:pPr>
        <w:jc w:val="center"/>
        <w:rPr>
          <w:b/>
          <w:bCs/>
          <w:sz w:val="28"/>
          <w:szCs w:val="28"/>
        </w:rPr>
      </w:pPr>
      <w:r>
        <w:rPr>
          <w:rFonts w:cs="Tahoma"/>
          <w:b/>
          <w:sz w:val="28"/>
          <w:szCs w:val="28"/>
        </w:rPr>
        <w:t xml:space="preserve"> – Centrum Zdrowia i Rehabilitacji</w:t>
      </w:r>
    </w:p>
    <w:p>
      <w:pPr>
        <w:jc w:val="center"/>
        <w:rPr>
          <w:b/>
          <w:bCs/>
        </w:rPr>
      </w:pPr>
    </w:p>
    <w:p>
      <w:pPr>
        <w:jc w:val="both"/>
      </w:pPr>
      <w:r>
        <w:rPr>
          <w:rFonts w:cs="Times New Roman"/>
          <w:b/>
          <w:bCs/>
        </w:rPr>
        <w:t>§</w:t>
      </w:r>
      <w:r>
        <w:rPr>
          <w:b/>
          <w:bCs/>
        </w:rPr>
        <w:t xml:space="preserve"> 1. </w:t>
      </w:r>
      <w:r>
        <w:rPr>
          <w:bCs/>
        </w:rPr>
        <w:t>Regulamin określa</w:t>
      </w:r>
      <w:r>
        <w:rPr>
          <w:b/>
          <w:bCs/>
        </w:rPr>
        <w:t xml:space="preserve"> </w:t>
      </w:r>
      <w:r>
        <w:rPr>
          <w:bCs/>
        </w:rPr>
        <w:t>zasady</w:t>
      </w:r>
      <w:r>
        <w:rPr>
          <w:b/>
          <w:bCs/>
        </w:rPr>
        <w:t xml:space="preserve"> </w:t>
      </w:r>
      <w:r>
        <w:rPr>
          <w:bCs/>
        </w:rPr>
        <w:t xml:space="preserve">funkcjonowania systemu monitoringu wizyjnego budynku </w:t>
      </w:r>
      <w:r>
        <w:rPr>
          <w:rFonts w:cs="Tahoma"/>
        </w:rPr>
        <w:t xml:space="preserve">, pod adresem Damnica ul. Witosa 1A  – Centrum Zdrowia i Rehabilitacji </w:t>
      </w:r>
      <w:r>
        <w:rPr>
          <w:bCs/>
        </w:rPr>
        <w:t>, lokalizację kamer, reguły rejestracji i zapisu informacji oraz sposób zabezpieczenia, a także zasady udostępniania zgromadzonych danych.</w:t>
      </w:r>
    </w:p>
    <w:p>
      <w:pPr>
        <w:jc w:val="both"/>
        <w:rPr>
          <w:rFonts w:cs="Times New Roman"/>
          <w:b/>
          <w:bCs/>
        </w:rPr>
      </w:pPr>
    </w:p>
    <w:p>
      <w:pPr>
        <w:jc w:val="both"/>
      </w:pPr>
      <w:r>
        <w:rPr>
          <w:rFonts w:cs="Times New Roman"/>
          <w:b/>
          <w:bCs/>
        </w:rPr>
        <w:t>§</w:t>
      </w:r>
      <w:r>
        <w:rPr>
          <w:b/>
          <w:bCs/>
        </w:rPr>
        <w:t xml:space="preserve">  2.   </w:t>
      </w:r>
      <w:r>
        <w:rPr>
          <w:bCs/>
        </w:rPr>
        <w:t>Monitoring stanowi własność Urzędu Gminy w Damnicy.</w:t>
      </w:r>
    </w:p>
    <w:p>
      <w:pPr>
        <w:jc w:val="both"/>
        <w:rPr>
          <w:rFonts w:cs="Times New Roman"/>
          <w:b/>
          <w:bCs/>
        </w:rPr>
      </w:pPr>
    </w:p>
    <w:p>
      <w:pPr>
        <w:jc w:val="both"/>
      </w:pPr>
      <w:r>
        <w:rPr>
          <w:rFonts w:cs="Times New Roman"/>
          <w:b/>
          <w:bCs/>
        </w:rPr>
        <w:t xml:space="preserve">§ </w:t>
      </w:r>
      <w:r>
        <w:rPr>
          <w:b/>
          <w:bCs/>
        </w:rPr>
        <w:t xml:space="preserve">3.  </w:t>
      </w:r>
      <w:r>
        <w:t xml:space="preserve">Administratorem danych osobowych zawartych w zapisach z kamer monitoringu jest Wójt Gminy Damnica, który wyznaczył Inspektora Ochrony Danych Osobowych, z którym kontakt jest możliwy pod adresem e-mail: </w:t>
      </w:r>
      <w:r>
        <w:fldChar w:fldCharType="begin"/>
      </w:r>
      <w:r>
        <w:instrText xml:space="preserve"> HYPERLINK "mailto:iodo@damnica.pl" </w:instrText>
      </w:r>
      <w:r>
        <w:fldChar w:fldCharType="separate"/>
      </w:r>
      <w:r>
        <w:rPr>
          <w:rStyle w:val="4"/>
        </w:rPr>
        <w:t>iodo@damnica.pl</w:t>
      </w:r>
      <w:r>
        <w:rPr>
          <w:rStyle w:val="4"/>
        </w:rPr>
        <w:fldChar w:fldCharType="end"/>
      </w:r>
      <w:r>
        <w:t>.</w:t>
      </w:r>
    </w:p>
    <w:p>
      <w:pPr>
        <w:jc w:val="both"/>
      </w:pPr>
    </w:p>
    <w:p>
      <w:pPr>
        <w:jc w:val="both"/>
      </w:pPr>
      <w:r>
        <w:rPr>
          <w:rFonts w:cs="Times New Roman"/>
          <w:b/>
        </w:rPr>
        <w:t>§</w:t>
      </w:r>
      <w:r>
        <w:rPr>
          <w:b/>
        </w:rPr>
        <w:t xml:space="preserve"> 4.   </w:t>
      </w:r>
      <w:r>
        <w:t xml:space="preserve">Monitoring wizyjny wprowadzony jest w celu zapewnienia bezpieczeństwa i porządku publicznego oraz ochrony osób i mienia znajdującego się na terenie </w:t>
      </w:r>
      <w:r>
        <w:rPr>
          <w:rFonts w:cs="Tahoma"/>
          <w:lang w:bidi="ar-SA"/>
        </w:rPr>
        <w:t>Centrum Zdrowia i Rehabilitacji</w:t>
      </w:r>
      <w:r>
        <w:t xml:space="preserve"> w Damnicy oraz w celu ograniczenia dostępu do obiektu osób nieuprawnionych i niepożądanych. </w:t>
      </w:r>
    </w:p>
    <w:p>
      <w:pPr>
        <w:jc w:val="both"/>
      </w:pPr>
    </w:p>
    <w:p>
      <w:pPr>
        <w:jc w:val="both"/>
      </w:pPr>
      <w:r>
        <w:rPr>
          <w:rFonts w:cs="Times New Roman"/>
          <w:b/>
        </w:rPr>
        <w:t>§</w:t>
      </w:r>
      <w:r>
        <w:rPr>
          <w:b/>
        </w:rPr>
        <w:t xml:space="preserve"> 5.  </w:t>
      </w:r>
      <w:r>
        <w:t>Dane osobowe przetwarzane będą w celu zapewnienia bezpieczeństwa i porządku publicznego oraz ochrony osób i mienia na podstawie art. 6 ust. 1 lit. e rozporządzenia Parlamentu Europejskiego i Rady (UE) 2016/679 z 27 kwietnia 2916 r. w sprawie ochrony osób fizycznych w związku z przetwarzaniem danych osobowych i w sprawie swobodnego przepływu takich danych oraz uchylenia dyrektywy 95/46/WE  oraz art. 111 Ustawy o ochronie danych osobowych (Dz.U. z 2018 r. poz. 1000).</w:t>
      </w:r>
    </w:p>
    <w:p>
      <w:pPr>
        <w:jc w:val="both"/>
        <w:rPr>
          <w:b/>
        </w:rPr>
      </w:pPr>
    </w:p>
    <w:p>
      <w:pPr>
        <w:jc w:val="both"/>
      </w:pPr>
      <w:r>
        <w:rPr>
          <w:rFonts w:cs="Times New Roman"/>
          <w:b/>
        </w:rPr>
        <w:t>§</w:t>
      </w:r>
      <w:r>
        <w:rPr>
          <w:b/>
        </w:rPr>
        <w:t xml:space="preserve"> 6.  </w:t>
      </w:r>
      <w:r>
        <w:t>System monitoringu wizyjnego obejmuje w szczególności kamery,  rejestrator, okablowanie i oprogramowanie, a ponadto stanowisko odbierające obraz z kamer.</w:t>
      </w:r>
    </w:p>
    <w:p>
      <w:pPr>
        <w:jc w:val="both"/>
        <w:rPr>
          <w:b/>
        </w:rPr>
      </w:pPr>
    </w:p>
    <w:p>
      <w:pPr>
        <w:jc w:val="both"/>
      </w:pPr>
      <w:r>
        <w:rPr>
          <w:rFonts w:cs="Times New Roman"/>
          <w:b/>
        </w:rPr>
        <w:t>§</w:t>
      </w:r>
      <w:r>
        <w:rPr>
          <w:b/>
        </w:rPr>
        <w:t xml:space="preserve"> 7.</w:t>
      </w:r>
      <w:r>
        <w:t xml:space="preserve">   Monitoringiem wizyjnym w </w:t>
      </w:r>
      <w:r>
        <w:rPr>
          <w:rFonts w:cs="Tahoma"/>
        </w:rPr>
        <w:t xml:space="preserve">Centrum Zdrowia i Rehabilitacji, pod adresem Damnica ul. Witosa 1A </w:t>
      </w:r>
      <w:r>
        <w:t>objęto: wejścia do budynku, parking i teren przyległy. Monitoring nie obejmuje pomieszczeń sanitarnych.</w:t>
      </w:r>
    </w:p>
    <w:p>
      <w:pPr>
        <w:rPr>
          <w:b/>
          <w:color w:val="000000"/>
        </w:rPr>
      </w:pPr>
    </w:p>
    <w:p>
      <w:r>
        <w:rPr>
          <w:rFonts w:cs="Times New Roman"/>
          <w:b/>
          <w:color w:val="000000"/>
        </w:rPr>
        <w:t>§</w:t>
      </w:r>
      <w:r>
        <w:rPr>
          <w:b/>
          <w:color w:val="000000"/>
        </w:rPr>
        <w:t xml:space="preserve"> 8. </w:t>
      </w:r>
      <w:r>
        <w:rPr>
          <w:b/>
          <w:color w:val="000000"/>
        </w:rPr>
        <w:tab/>
      </w:r>
      <w:r>
        <w:t>Monitoring pozostaje aktywny przez całą dobę.</w:t>
      </w:r>
    </w:p>
    <w:p/>
    <w:p>
      <w:r>
        <w:rPr>
          <w:rFonts w:cs="Times New Roman"/>
          <w:b/>
        </w:rPr>
        <w:t>§</w:t>
      </w:r>
      <w:r>
        <w:rPr>
          <w:b/>
        </w:rPr>
        <w:t xml:space="preserve"> 9.</w:t>
      </w:r>
      <w:r>
        <w:rPr>
          <w:b/>
        </w:rPr>
        <w:tab/>
      </w:r>
      <w:r>
        <w:t xml:space="preserve">Wszystkie dane rejestrowane poprzez kamery monitoringu wizyjnego są zapisywane i dostępne maksymalnie przez okres trzech miesięcy. Czas przechowywania uzależniony jest od ilości zdarzeń i pojemności dysku rejestratora. W przypadku braku miejsca na dysku dane zostają automatycznie nadpisywane. </w:t>
      </w:r>
    </w:p>
    <w:p>
      <w:pPr>
        <w:rPr>
          <w:rFonts w:cs="Times New Roman"/>
          <w:b/>
        </w:rPr>
      </w:pPr>
    </w:p>
    <w:p>
      <w:pPr>
        <w:spacing w:line="360" w:lineRule="auto"/>
      </w:pPr>
      <w:r>
        <w:rPr>
          <w:rFonts w:cs="Times New Roman"/>
          <w:b/>
        </w:rPr>
        <w:t>§</w:t>
      </w:r>
      <w:r>
        <w:rPr>
          <w:b/>
        </w:rPr>
        <w:t>10.</w:t>
      </w:r>
      <w:r>
        <w:tab/>
      </w:r>
      <w:r>
        <w:t>Rejestracji i zapisowi danych na nośniku podlega tylko obraz (bez dźwięku).</w:t>
      </w:r>
    </w:p>
    <w:p>
      <w:pPr>
        <w:jc w:val="both"/>
      </w:pPr>
      <w:r>
        <w:rPr>
          <w:rFonts w:cs="Times New Roman"/>
          <w:b/>
        </w:rPr>
        <w:t>§</w:t>
      </w:r>
      <w:r>
        <w:rPr>
          <w:b/>
        </w:rPr>
        <w:t xml:space="preserve"> 11.</w:t>
      </w:r>
      <w:r>
        <w:rPr>
          <w:b/>
        </w:rPr>
        <w:tab/>
      </w:r>
      <w:r>
        <w:t xml:space="preserve"> Osoba zarejestrowana przez system monitoringu ma prawo dostępu do danych osobowych oraz prawo wniesienia skargi do organu nadzorczego tj. Prezesa Urzędu Ochrony Danych Osobowych gdy uzna, że przetwarzanie danych osobowych narusza przepisy RODO.</w:t>
      </w:r>
    </w:p>
    <w:p>
      <w:pPr>
        <w:jc w:val="both"/>
      </w:pPr>
    </w:p>
    <w:p>
      <w:pPr>
        <w:jc w:val="both"/>
      </w:pPr>
      <w:r>
        <w:rPr>
          <w:rFonts w:cs="Times New Roman"/>
          <w:b/>
        </w:rPr>
        <w:t>§</w:t>
      </w:r>
      <w:r>
        <w:rPr>
          <w:b/>
        </w:rPr>
        <w:t xml:space="preserve"> 12.</w:t>
      </w:r>
      <w:r>
        <w:tab/>
      </w:r>
      <w:r>
        <w:t>Urząd Gminy w Damnicy dla celów dowodowych zabezpiecza zdarzenia zarejestrowane przez system monitoringu wizyjnego, które między innymi zagrażają bezpieczeństwu i porządkowi publicznemu, niszczeniu i kradzieży mienia:</w:t>
      </w:r>
    </w:p>
    <w:p>
      <w:pPr>
        <w:numPr>
          <w:ilvl w:val="1"/>
          <w:numId w:val="1"/>
        </w:numPr>
        <w:jc w:val="both"/>
      </w:pPr>
      <w:r>
        <w:t>na wniosek osób trzecich;</w:t>
      </w:r>
    </w:p>
    <w:p>
      <w:pPr>
        <w:numPr>
          <w:ilvl w:val="1"/>
          <w:numId w:val="1"/>
        </w:numPr>
      </w:pPr>
      <w:r>
        <w:t>na wniosek organów prowadzących postępowania;</w:t>
      </w:r>
    </w:p>
    <w:p>
      <w:pPr>
        <w:numPr>
          <w:ilvl w:val="1"/>
          <w:numId w:val="1"/>
        </w:numPr>
      </w:pPr>
      <w:r>
        <w:t>na wniosek Wójta Gminy Damnica.</w:t>
      </w:r>
    </w:p>
    <w:p>
      <w:pPr>
        <w:rPr>
          <w:b/>
        </w:rPr>
      </w:pPr>
    </w:p>
    <w:p>
      <w:pPr>
        <w:jc w:val="both"/>
      </w:pPr>
      <w:r>
        <w:rPr>
          <w:rFonts w:cs="Times New Roman"/>
          <w:b/>
        </w:rPr>
        <w:t>§</w:t>
      </w:r>
      <w:r>
        <w:rPr>
          <w:b/>
        </w:rPr>
        <w:t xml:space="preserve"> 13.</w:t>
      </w:r>
      <w:r>
        <w:rPr>
          <w:b/>
        </w:rPr>
        <w:tab/>
      </w:r>
      <w:r>
        <w:t>Osoby uprawnione do przeglądania zarejestrowanego obrazu posiadają imienne upoważnienia nadane przez Wójta Gminy Damnica.</w:t>
      </w:r>
    </w:p>
    <w:p>
      <w:pPr>
        <w:rPr>
          <w:b/>
        </w:rPr>
      </w:pPr>
    </w:p>
    <w:p>
      <w:r>
        <w:rPr>
          <w:rFonts w:cs="Times New Roman"/>
          <w:b/>
        </w:rPr>
        <w:t>§</w:t>
      </w:r>
      <w:r>
        <w:rPr>
          <w:b/>
        </w:rPr>
        <w:t>14.</w:t>
      </w:r>
      <w:r>
        <w:rPr>
          <w:b/>
        </w:rPr>
        <w:tab/>
      </w:r>
      <w:r>
        <w:t>Osoby upoważnione do przetwarzania zarejestrowanego obrazu to:</w:t>
      </w:r>
    </w:p>
    <w:p>
      <w:pPr>
        <w:numPr>
          <w:ilvl w:val="0"/>
          <w:numId w:val="2"/>
        </w:numPr>
        <w:tabs>
          <w:tab w:val="left" w:pos="1155"/>
        </w:tabs>
      </w:pPr>
      <w:r>
        <w:t>Wójt Gminy Damnica,</w:t>
      </w:r>
    </w:p>
    <w:p>
      <w:pPr>
        <w:numPr>
          <w:ilvl w:val="0"/>
          <w:numId w:val="2"/>
        </w:numPr>
        <w:tabs>
          <w:tab w:val="left" w:pos="1155"/>
        </w:tabs>
        <w:ind w:left="737" w:firstLine="0"/>
      </w:pPr>
      <w:r>
        <w:t>Pracownik ds. obsługi informatycznej.</w:t>
      </w:r>
    </w:p>
    <w:p>
      <w:pPr>
        <w:rPr>
          <w:b/>
        </w:rPr>
      </w:pPr>
    </w:p>
    <w:p>
      <w:pPr>
        <w:jc w:val="both"/>
      </w:pPr>
      <w:r>
        <w:rPr>
          <w:rFonts w:cs="Times New Roman"/>
          <w:b/>
        </w:rPr>
        <w:t>§</w:t>
      </w:r>
      <w:r>
        <w:rPr>
          <w:b/>
        </w:rPr>
        <w:t xml:space="preserve"> 15.</w:t>
      </w:r>
      <w:r>
        <w:tab/>
      </w:r>
      <w:r>
        <w:t>Nagrania mogą być przekazane, na pisemny wniosek uprawnionym służbom lub organom w celu wyjaśnienia prowadzonej sprawy</w:t>
      </w:r>
    </w:p>
    <w:p>
      <w:pPr>
        <w:jc w:val="both"/>
        <w:rPr>
          <w:b/>
        </w:rPr>
      </w:pPr>
    </w:p>
    <w:p>
      <w:pPr>
        <w:jc w:val="both"/>
      </w:pPr>
      <w:r>
        <w:rPr>
          <w:rFonts w:cs="Times New Roman"/>
          <w:b/>
        </w:rPr>
        <w:t>§</w:t>
      </w:r>
      <w:r>
        <w:rPr>
          <w:b/>
        </w:rPr>
        <w:t xml:space="preserve"> 16.1. </w:t>
      </w:r>
      <w:r>
        <w:t xml:space="preserve">Zapis monitoringu może być udostępniony osobom bezpośrednio zainteresowanym wyjaśnieniem zdarzenia z zachowaniem anonimizacji innych zarejestrowanych osób, których ujawnienie mogłoby doprowadzić do naruszenia praw i wolności osób. </w:t>
      </w:r>
    </w:p>
    <w:p>
      <w:r>
        <w:rPr>
          <w:rFonts w:eastAsia="Times New Roman" w:cs="Times New Roman"/>
          <w:b/>
        </w:rPr>
        <w:t xml:space="preserve">         </w:t>
      </w:r>
      <w:r>
        <w:rPr>
          <w:b/>
        </w:rPr>
        <w:t>2.</w:t>
      </w:r>
      <w:r>
        <w:t xml:space="preserve"> Wzór wniosku o zabezpieczenie i udostępnienie danych stanowi załącznik nr 1 do niniejszego regulaminu. </w:t>
      </w:r>
    </w:p>
    <w:p>
      <w:r>
        <w:rPr>
          <w:rFonts w:eastAsia="Times New Roman" w:cs="Times New Roman"/>
        </w:rPr>
        <w:t xml:space="preserve">         </w:t>
      </w:r>
      <w:r>
        <w:rPr>
          <w:b/>
        </w:rPr>
        <w:t xml:space="preserve">3. </w:t>
      </w:r>
      <w:r>
        <w:t xml:space="preserve">Udostępnianie nagrań z monitoringu ewidencjonowane jest w „Rejestrze udostępnionych nagrań z monitoringu </w:t>
      </w:r>
      <w:r>
        <w:rPr>
          <w:rFonts w:cs="Tahoma"/>
        </w:rPr>
        <w:t xml:space="preserve">, Centrum Zdrowia i Rehabilitacji </w:t>
      </w:r>
      <w:r>
        <w:t xml:space="preserve"> prowadzonym przez Informatyka urzędu Gminy Damnica załącznik nr 2 do niniejszego regulaminu.</w:t>
      </w:r>
    </w:p>
    <w:p>
      <w:pPr>
        <w:jc w:val="both"/>
        <w:rPr>
          <w:b/>
        </w:rPr>
      </w:pPr>
    </w:p>
    <w:p>
      <w:pPr>
        <w:jc w:val="both"/>
      </w:pPr>
      <w:r>
        <w:rPr>
          <w:rFonts w:cs="Times New Roman"/>
          <w:b/>
        </w:rPr>
        <w:t>§</w:t>
      </w:r>
      <w:r>
        <w:rPr>
          <w:b/>
        </w:rPr>
        <w:t xml:space="preserve"> 17.</w:t>
      </w:r>
      <w:r>
        <w:rPr>
          <w:b/>
        </w:rPr>
        <w:tab/>
      </w:r>
      <w:r>
        <w:t>Odpowiedzialnym za obsługę oraz prawidłowe funkcjonowanie systemu monitoringu jest pracownik ds. obsługi informatycznej.</w:t>
      </w:r>
    </w:p>
    <w:p>
      <w:pPr>
        <w:jc w:val="both"/>
      </w:pPr>
    </w:p>
    <w:p>
      <w:pPr>
        <w:jc w:val="both"/>
      </w:pPr>
      <w:r>
        <w:rPr>
          <w:rFonts w:cs="Times New Roman"/>
          <w:b/>
        </w:rPr>
        <w:t>§</w:t>
      </w:r>
      <w:r>
        <w:rPr>
          <w:b/>
        </w:rPr>
        <w:t xml:space="preserve"> 18.</w:t>
      </w:r>
      <w:r>
        <w:tab/>
      </w:r>
      <w:r>
        <w:t xml:space="preserve">Oprogramowanie rejestrujące i zapisujące obraz znajduje się w wydzielonym, chronionym pomieszczeniu serwerowni do którego dostęp maja wyłącznie osoby wymienione w </w:t>
      </w:r>
      <w:r>
        <w:rPr>
          <w:rFonts w:cs="Times New Roman"/>
        </w:rPr>
        <w:t>§</w:t>
      </w:r>
      <w:r>
        <w:t xml:space="preserve"> 14.</w:t>
      </w:r>
    </w:p>
    <w:p>
      <w:pPr>
        <w:jc w:val="both"/>
      </w:pPr>
    </w:p>
    <w:p>
      <w:pPr>
        <w:jc w:val="both"/>
      </w:pPr>
      <w:r>
        <w:rPr>
          <w:rFonts w:cs="Times New Roman"/>
          <w:b/>
        </w:rPr>
        <w:t>§</w:t>
      </w:r>
      <w:r>
        <w:rPr>
          <w:b/>
        </w:rPr>
        <w:t xml:space="preserve"> 19.1.</w:t>
      </w:r>
      <w:r>
        <w:t xml:space="preserve"> Zapoznanie się z niniejszym regulaminem obowiązuje każdego pracownika </w:t>
      </w:r>
      <w:r>
        <w:rPr>
          <w:rFonts w:cs="Tahoma"/>
        </w:rPr>
        <w:t>Centrum Zdrowia i Rehabilitacji</w:t>
      </w:r>
      <w:r>
        <w:t xml:space="preserve"> .</w:t>
      </w:r>
    </w:p>
    <w:p>
      <w:pPr>
        <w:jc w:val="both"/>
        <w:rPr>
          <w:b/>
        </w:rPr>
      </w:pPr>
      <w:r>
        <w:rPr>
          <w:rFonts w:eastAsia="Times New Roman" w:cs="Times New Roman"/>
          <w:b/>
        </w:rPr>
        <w:t xml:space="preserve">         </w:t>
      </w:r>
    </w:p>
    <w:p>
      <w:pPr>
        <w:jc w:val="both"/>
      </w:pPr>
      <w:r>
        <w:rPr>
          <w:rFonts w:cs="Times New Roman"/>
          <w:b/>
        </w:rPr>
        <w:t>§</w:t>
      </w:r>
      <w:r>
        <w:rPr>
          <w:b/>
        </w:rPr>
        <w:t xml:space="preserve"> 20.</w:t>
      </w:r>
      <w:r>
        <w:tab/>
      </w:r>
      <w:r>
        <w:t xml:space="preserve">Obowiązek informacyjny został spełniony poprzez umieszczenie informacji o monitoringu (znak graficzny kamery) w widocznym miejscu tj.: przy drzwiach wejściowych do obiektu, korytarzach </w:t>
      </w:r>
      <w:r>
        <w:rPr>
          <w:rFonts w:cs="Tahoma"/>
        </w:rPr>
        <w:t>Centrum Zdrowia i Rehabilitacji</w:t>
      </w:r>
      <w:r>
        <w:t xml:space="preserve"> .</w:t>
      </w:r>
    </w:p>
    <w:p>
      <w:pPr>
        <w:jc w:val="both"/>
        <w:rPr>
          <w:rFonts w:cs="Times New Roman"/>
        </w:rPr>
      </w:pPr>
    </w:p>
    <w:p>
      <w:pPr>
        <w:jc w:val="both"/>
      </w:pPr>
      <w:r>
        <w:rPr>
          <w:rFonts w:cs="Times New Roman"/>
          <w:b/>
        </w:rPr>
        <w:t>§</w:t>
      </w:r>
      <w:r>
        <w:rPr>
          <w:b/>
        </w:rPr>
        <w:t xml:space="preserve"> 21.</w:t>
      </w:r>
      <w:r>
        <w:rPr>
          <w:b/>
        </w:rPr>
        <w:tab/>
      </w:r>
      <w:r>
        <w:t>Regulamin wchodzi w życie z dniem podpisania zarządzenia.</w:t>
      </w:r>
    </w:p>
    <w:p>
      <w:pPr>
        <w:ind w:right="7461"/>
      </w:pPr>
    </w:p>
    <w:sectPr>
      <w:pgSz w:w="11906" w:h="16838"/>
      <w:pgMar w:top="1417" w:right="1417" w:bottom="1417" w:left="1417" w:header="708" w:footer="708" w:gutter="0"/>
      <w:cols w:space="708" w:num="1"/>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EE"/>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Mangal">
    <w:panose1 w:val="02040503050203030202"/>
    <w:charset w:val="01"/>
    <w:family w:val="roman"/>
    <w:pitch w:val="default"/>
    <w:sig w:usb0="00008003" w:usb1="00000000" w:usb2="00000000" w:usb3="00000000" w:csb0="00000001" w:csb1="00000000"/>
  </w:font>
  <w:font w:name="Tahoma">
    <w:panose1 w:val="020B0604030504040204"/>
    <w:charset w:val="EE"/>
    <w:family w:val="swiss"/>
    <w:pitch w:val="default"/>
    <w:sig w:usb0="E1002EFF" w:usb1="C000605B" w:usb2="00000029" w:usb3="00000000" w:csb0="200101FF" w:csb1="20280000"/>
  </w:font>
  <w:font w:name="OpenSymbol">
    <w:panose1 w:val="05010000000000000000"/>
    <w:charset w:val="00"/>
    <w:family w:val="auto"/>
    <w:pitch w:val="default"/>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tabs>
          <w:tab w:val="left" w:pos="0"/>
        </w:tabs>
        <w:ind w:left="720" w:hanging="360"/>
      </w:pPr>
      <w:rPr>
        <w:rFonts w:ascii="OpenSymbol" w:hAnsi="OpenSymbol" w:cs="OpenSymbol"/>
        <w:sz w:val="20"/>
        <w:szCs w:val="20"/>
      </w:rPr>
    </w:lvl>
    <w:lvl w:ilvl="1" w:tentative="0">
      <w:start w:val="1"/>
      <w:numFmt w:val="decimal"/>
      <w:lvlText w:val="%2."/>
      <w:lvlJc w:val="left"/>
      <w:pPr>
        <w:tabs>
          <w:tab w:val="left" w:pos="1080"/>
        </w:tabs>
        <w:ind w:left="1080" w:hanging="360"/>
      </w:pPr>
      <w:rPr>
        <w:sz w:val="24"/>
        <w:szCs w:val="24"/>
      </w:r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00000002"/>
    <w:multiLevelType w:val="multilevel"/>
    <w:tmpl w:val="00000002"/>
    <w:lvl w:ilvl="0" w:tentative="0">
      <w:start w:val="1"/>
      <w:numFmt w:val="decimal"/>
      <w:lvlText w:val="%1."/>
      <w:lvlJc w:val="left"/>
      <w:pPr>
        <w:tabs>
          <w:tab w:val="left" w:pos="1068"/>
        </w:tabs>
        <w:ind w:left="1068" w:hanging="360"/>
      </w:pPr>
      <w:rPr>
        <w:rFonts w:ascii="Times New Roman" w:hAnsi="Times New Roman" w:eastAsia="Times New Roman" w:cs="Times New Roman"/>
      </w:rPr>
    </w:lvl>
    <w:lvl w:ilvl="1" w:tentative="0">
      <w:start w:val="1"/>
      <w:numFmt w:val="bullet"/>
      <w:lvlText w:val=""/>
      <w:lvlJc w:val="left"/>
      <w:pPr>
        <w:tabs>
          <w:tab w:val="left" w:pos="1428"/>
        </w:tabs>
        <w:ind w:left="1428" w:hanging="360"/>
      </w:pPr>
      <w:rPr>
        <w:rFonts w:ascii="Wingdings" w:hAnsi="Wingdings" w:cs="Wingdings"/>
      </w:rPr>
    </w:lvl>
    <w:lvl w:ilvl="2" w:tentative="0">
      <w:start w:val="1"/>
      <w:numFmt w:val="bullet"/>
      <w:lvlText w:val=""/>
      <w:lvlJc w:val="left"/>
      <w:pPr>
        <w:tabs>
          <w:tab w:val="left" w:pos="1788"/>
        </w:tabs>
        <w:ind w:left="1788" w:hanging="360"/>
      </w:pPr>
      <w:rPr>
        <w:rFonts w:ascii="Wingdings" w:hAnsi="Wingdings" w:cs="Wingdings"/>
      </w:rPr>
    </w:lvl>
    <w:lvl w:ilvl="3" w:tentative="0">
      <w:start w:val="1"/>
      <w:numFmt w:val="bullet"/>
      <w:lvlText w:val=""/>
      <w:lvlJc w:val="left"/>
      <w:pPr>
        <w:tabs>
          <w:tab w:val="left" w:pos="2148"/>
        </w:tabs>
        <w:ind w:left="2148" w:hanging="360"/>
      </w:pPr>
      <w:rPr>
        <w:rFonts w:ascii="Wingdings" w:hAnsi="Wingdings" w:cs="Wingdings"/>
      </w:rPr>
    </w:lvl>
    <w:lvl w:ilvl="4" w:tentative="0">
      <w:start w:val="1"/>
      <w:numFmt w:val="bullet"/>
      <w:lvlText w:val=""/>
      <w:lvlJc w:val="left"/>
      <w:pPr>
        <w:tabs>
          <w:tab w:val="left" w:pos="2508"/>
        </w:tabs>
        <w:ind w:left="2508" w:hanging="360"/>
      </w:pPr>
      <w:rPr>
        <w:rFonts w:ascii="Wingdings" w:hAnsi="Wingdings" w:cs="Wingdings"/>
      </w:rPr>
    </w:lvl>
    <w:lvl w:ilvl="5" w:tentative="0">
      <w:start w:val="1"/>
      <w:numFmt w:val="bullet"/>
      <w:lvlText w:val=""/>
      <w:lvlJc w:val="left"/>
      <w:pPr>
        <w:tabs>
          <w:tab w:val="left" w:pos="2868"/>
        </w:tabs>
        <w:ind w:left="2868" w:hanging="360"/>
      </w:pPr>
      <w:rPr>
        <w:rFonts w:ascii="Wingdings" w:hAnsi="Wingdings" w:cs="Wingdings"/>
      </w:rPr>
    </w:lvl>
    <w:lvl w:ilvl="6" w:tentative="0">
      <w:start w:val="1"/>
      <w:numFmt w:val="bullet"/>
      <w:lvlText w:val=""/>
      <w:lvlJc w:val="left"/>
      <w:pPr>
        <w:tabs>
          <w:tab w:val="left" w:pos="3228"/>
        </w:tabs>
        <w:ind w:left="3228" w:hanging="360"/>
      </w:pPr>
      <w:rPr>
        <w:rFonts w:ascii="Wingdings" w:hAnsi="Wingdings" w:cs="Wingdings"/>
      </w:rPr>
    </w:lvl>
    <w:lvl w:ilvl="7" w:tentative="0">
      <w:start w:val="1"/>
      <w:numFmt w:val="bullet"/>
      <w:lvlText w:val=""/>
      <w:lvlJc w:val="left"/>
      <w:pPr>
        <w:tabs>
          <w:tab w:val="left" w:pos="3588"/>
        </w:tabs>
        <w:ind w:left="3588" w:hanging="360"/>
      </w:pPr>
      <w:rPr>
        <w:rFonts w:ascii="Wingdings" w:hAnsi="Wingdings" w:cs="Wingdings"/>
      </w:rPr>
    </w:lvl>
    <w:lvl w:ilvl="8" w:tentative="0">
      <w:start w:val="1"/>
      <w:numFmt w:val="bullet"/>
      <w:lvlText w:val=""/>
      <w:lvlJc w:val="left"/>
      <w:pPr>
        <w:tabs>
          <w:tab w:val="left" w:pos="3948"/>
        </w:tabs>
        <w:ind w:left="3948" w:hanging="360"/>
      </w:pPr>
      <w:rPr>
        <w:rFonts w:ascii="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44720B"/>
    <w:rsid w:val="002226A6"/>
    <w:rsid w:val="00332030"/>
    <w:rsid w:val="00404458"/>
    <w:rsid w:val="0044720B"/>
    <w:rsid w:val="005A3365"/>
    <w:rsid w:val="005F6B87"/>
    <w:rsid w:val="007E274B"/>
    <w:rsid w:val="008767D2"/>
    <w:rsid w:val="008C6E58"/>
    <w:rsid w:val="00F1525B"/>
    <w:rsid w:val="621E3D99"/>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0" w:line="240" w:lineRule="auto"/>
    </w:pPr>
    <w:rPr>
      <w:rFonts w:ascii="Times New Roman" w:hAnsi="Times New Roman" w:eastAsia="Arial Unicode MS" w:cs="Mangal"/>
      <w:kern w:val="2"/>
      <w:sz w:val="24"/>
      <w:szCs w:val="24"/>
      <w:lang w:val="pl-PL" w:eastAsia="zh-CN" w:bidi="hi-IN"/>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663</Words>
  <Characters>3981</Characters>
  <Lines>33</Lines>
  <Paragraphs>9</Paragraphs>
  <TotalTime>0</TotalTime>
  <ScaleCrop>false</ScaleCrop>
  <LinksUpToDate>false</LinksUpToDate>
  <CharactersWithSpaces>4635</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2023-05-16T18:49:00Z</dcterms:created>
  <dc:creator>IODO</dc:creator>
  <cp:lastModifiedBy>Sekret</cp:lastModifiedBy>
  <dcterms:modified xsi:type="dcterms:W3CDTF">2023-06-01T07:40:59Z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1045-11.2.0.11417</vt:lpwstr>
  </property>
  <property fmtid="{D5CDD505-2E9C-101B-9397-08002B2CF9AE}" pid="3" name="ICV">
    <vt:lpwstr>72DE0937E82B443998E2AA41700E6043</vt:lpwstr>
  </property>
</Properties>
</file>