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82C" w:rsidRDefault="0013082C" w:rsidP="0012407A">
      <w:pPr>
        <w:spacing w:after="0" w:line="360" w:lineRule="auto"/>
        <w:jc w:val="center"/>
        <w:rPr>
          <w:rFonts w:ascii="Times New Roman" w:hAnsi="Times New Roman" w:cs="Times New Roman"/>
          <w:sz w:val="20"/>
          <w:szCs w:val="20"/>
        </w:rPr>
      </w:pPr>
      <w:bookmarkStart w:id="0" w:name="_GoBack"/>
      <w:bookmarkEnd w:id="0"/>
    </w:p>
    <w:p w:rsidR="00927FBB" w:rsidRDefault="004C77FB" w:rsidP="00270E24">
      <w:pPr>
        <w:spacing w:after="0" w:line="360" w:lineRule="auto"/>
        <w:jc w:val="right"/>
        <w:rPr>
          <w:rFonts w:ascii="Times New Roman" w:hAnsi="Times New Roman" w:cs="Times New Roman"/>
          <w:sz w:val="20"/>
          <w:szCs w:val="20"/>
        </w:rPr>
      </w:pPr>
      <w:r w:rsidRPr="00E41572">
        <w:rPr>
          <w:rFonts w:ascii="Times New Roman" w:hAnsi="Times New Roman" w:cs="Times New Roman"/>
          <w:sz w:val="20"/>
          <w:szCs w:val="20"/>
        </w:rPr>
        <w:t>Załącznik</w:t>
      </w:r>
      <w:r>
        <w:rPr>
          <w:rFonts w:ascii="Times New Roman" w:hAnsi="Times New Roman" w:cs="Times New Roman"/>
          <w:sz w:val="20"/>
          <w:szCs w:val="20"/>
        </w:rPr>
        <w:t xml:space="preserve"> </w:t>
      </w:r>
      <w:r w:rsidR="00643506">
        <w:rPr>
          <w:rFonts w:ascii="Times New Roman" w:hAnsi="Times New Roman" w:cs="Times New Roman"/>
          <w:sz w:val="20"/>
          <w:szCs w:val="20"/>
        </w:rPr>
        <w:t xml:space="preserve">nr 1 </w:t>
      </w:r>
    </w:p>
    <w:p w:rsidR="004C77FB" w:rsidRDefault="004C77FB" w:rsidP="004C77FB">
      <w:pPr>
        <w:spacing w:after="0" w:line="360" w:lineRule="auto"/>
        <w:ind w:left="6373" w:firstLine="709"/>
        <w:jc w:val="right"/>
        <w:rPr>
          <w:rFonts w:ascii="Times New Roman" w:hAnsi="Times New Roman" w:cs="Times New Roman"/>
          <w:sz w:val="20"/>
          <w:szCs w:val="20"/>
        </w:rPr>
      </w:pPr>
      <w:r w:rsidRPr="00E41572">
        <w:rPr>
          <w:rFonts w:ascii="Times New Roman" w:hAnsi="Times New Roman" w:cs="Times New Roman"/>
          <w:sz w:val="20"/>
          <w:szCs w:val="20"/>
        </w:rPr>
        <w:t xml:space="preserve">do Zarządzenia Nr </w:t>
      </w:r>
      <w:r w:rsidR="00927FBB">
        <w:rPr>
          <w:rFonts w:ascii="Times New Roman" w:hAnsi="Times New Roman" w:cs="Times New Roman"/>
          <w:sz w:val="20"/>
          <w:szCs w:val="20"/>
        </w:rPr>
        <w:t>1</w:t>
      </w:r>
      <w:r w:rsidR="0013082C">
        <w:rPr>
          <w:rFonts w:ascii="Times New Roman" w:hAnsi="Times New Roman" w:cs="Times New Roman"/>
          <w:sz w:val="20"/>
          <w:szCs w:val="20"/>
        </w:rPr>
        <w:t>9a</w:t>
      </w:r>
      <w:r w:rsidRPr="00E41572">
        <w:rPr>
          <w:rFonts w:ascii="Times New Roman" w:hAnsi="Times New Roman" w:cs="Times New Roman"/>
          <w:sz w:val="20"/>
          <w:szCs w:val="20"/>
        </w:rPr>
        <w:t>/</w:t>
      </w:r>
      <w:r>
        <w:rPr>
          <w:rFonts w:ascii="Times New Roman" w:hAnsi="Times New Roman" w:cs="Times New Roman"/>
          <w:sz w:val="20"/>
          <w:szCs w:val="20"/>
        </w:rPr>
        <w:t>202</w:t>
      </w:r>
      <w:r w:rsidR="007A14CC">
        <w:rPr>
          <w:rFonts w:ascii="Times New Roman" w:hAnsi="Times New Roman" w:cs="Times New Roman"/>
          <w:sz w:val="20"/>
          <w:szCs w:val="20"/>
        </w:rPr>
        <w:t>3</w:t>
      </w:r>
      <w:r w:rsidRPr="00E41572">
        <w:rPr>
          <w:rFonts w:ascii="Times New Roman" w:hAnsi="Times New Roman" w:cs="Times New Roman"/>
          <w:sz w:val="20"/>
          <w:szCs w:val="20"/>
        </w:rPr>
        <w:t xml:space="preserve"> </w:t>
      </w:r>
    </w:p>
    <w:p w:rsidR="00927FBB" w:rsidRDefault="004C77FB" w:rsidP="004C77FB">
      <w:pPr>
        <w:spacing w:after="0" w:line="360" w:lineRule="auto"/>
        <w:ind w:left="6373" w:firstLine="709"/>
        <w:jc w:val="right"/>
        <w:rPr>
          <w:rFonts w:ascii="Times New Roman" w:hAnsi="Times New Roman" w:cs="Times New Roman"/>
          <w:sz w:val="20"/>
          <w:szCs w:val="20"/>
        </w:rPr>
      </w:pPr>
      <w:r w:rsidRPr="00E41572">
        <w:rPr>
          <w:rFonts w:ascii="Times New Roman" w:hAnsi="Times New Roman" w:cs="Times New Roman"/>
          <w:sz w:val="20"/>
          <w:szCs w:val="20"/>
        </w:rPr>
        <w:t xml:space="preserve">Wójta Gminy Damnica    </w:t>
      </w:r>
      <w:r w:rsidR="00927FBB">
        <w:rPr>
          <w:rFonts w:ascii="Times New Roman" w:hAnsi="Times New Roman" w:cs="Times New Roman"/>
          <w:sz w:val="20"/>
          <w:szCs w:val="20"/>
        </w:rPr>
        <w:t xml:space="preserve"> </w:t>
      </w:r>
    </w:p>
    <w:p w:rsidR="004C77FB" w:rsidRDefault="004C77FB" w:rsidP="004C77FB">
      <w:pPr>
        <w:spacing w:after="0" w:line="360" w:lineRule="auto"/>
        <w:ind w:left="6373" w:firstLine="709"/>
        <w:jc w:val="right"/>
        <w:rPr>
          <w:rFonts w:ascii="Times New Roman" w:hAnsi="Times New Roman" w:cs="Times New Roman"/>
          <w:sz w:val="20"/>
          <w:szCs w:val="20"/>
        </w:rPr>
      </w:pPr>
      <w:r w:rsidRPr="00E41572">
        <w:rPr>
          <w:rFonts w:ascii="Times New Roman" w:hAnsi="Times New Roman" w:cs="Times New Roman"/>
          <w:sz w:val="20"/>
          <w:szCs w:val="20"/>
        </w:rPr>
        <w:t xml:space="preserve"> z dnia </w:t>
      </w:r>
      <w:r w:rsidR="007A14CC">
        <w:rPr>
          <w:rFonts w:ascii="Times New Roman" w:hAnsi="Times New Roman" w:cs="Times New Roman"/>
          <w:sz w:val="20"/>
          <w:szCs w:val="20"/>
        </w:rPr>
        <w:t>2</w:t>
      </w:r>
      <w:r w:rsidR="0013082C">
        <w:rPr>
          <w:rFonts w:ascii="Times New Roman" w:hAnsi="Times New Roman" w:cs="Times New Roman"/>
          <w:sz w:val="20"/>
          <w:szCs w:val="20"/>
        </w:rPr>
        <w:t xml:space="preserve"> lutego </w:t>
      </w:r>
      <w:r w:rsidRPr="00E41572">
        <w:rPr>
          <w:rFonts w:ascii="Times New Roman" w:hAnsi="Times New Roman" w:cs="Times New Roman"/>
          <w:sz w:val="20"/>
          <w:szCs w:val="20"/>
        </w:rPr>
        <w:t>20</w:t>
      </w:r>
      <w:r>
        <w:rPr>
          <w:rFonts w:ascii="Times New Roman" w:hAnsi="Times New Roman" w:cs="Times New Roman"/>
          <w:sz w:val="20"/>
          <w:szCs w:val="20"/>
        </w:rPr>
        <w:t>2</w:t>
      </w:r>
      <w:r w:rsidR="007A14CC">
        <w:rPr>
          <w:rFonts w:ascii="Times New Roman" w:hAnsi="Times New Roman" w:cs="Times New Roman"/>
          <w:sz w:val="20"/>
          <w:szCs w:val="20"/>
        </w:rPr>
        <w:t>3</w:t>
      </w:r>
      <w:r w:rsidRPr="00E41572">
        <w:rPr>
          <w:rFonts w:ascii="Times New Roman" w:hAnsi="Times New Roman" w:cs="Times New Roman"/>
          <w:sz w:val="20"/>
          <w:szCs w:val="20"/>
        </w:rPr>
        <w:t xml:space="preserve"> roku</w:t>
      </w:r>
    </w:p>
    <w:p w:rsidR="0013082C" w:rsidRDefault="0013082C" w:rsidP="004C77FB">
      <w:pPr>
        <w:spacing w:after="0" w:line="360" w:lineRule="auto"/>
        <w:ind w:left="6373" w:firstLine="709"/>
        <w:jc w:val="right"/>
        <w:rPr>
          <w:rFonts w:ascii="Times New Roman" w:hAnsi="Times New Roman" w:cs="Times New Roman"/>
          <w:sz w:val="20"/>
          <w:szCs w:val="20"/>
        </w:rPr>
      </w:pPr>
    </w:p>
    <w:p w:rsidR="0013082C" w:rsidRPr="00E41572" w:rsidRDefault="0013082C" w:rsidP="004C77FB">
      <w:pPr>
        <w:spacing w:after="0" w:line="360" w:lineRule="auto"/>
        <w:ind w:left="6373" w:firstLine="709"/>
        <w:jc w:val="right"/>
        <w:rPr>
          <w:rFonts w:ascii="Times New Roman" w:hAnsi="Times New Roman" w:cs="Times New Roman"/>
          <w:sz w:val="20"/>
          <w:szCs w:val="20"/>
        </w:rPr>
      </w:pPr>
    </w:p>
    <w:p w:rsidR="0013082C" w:rsidRDefault="0013082C" w:rsidP="0013082C">
      <w:pPr>
        <w:spacing w:line="360" w:lineRule="auto"/>
        <w:jc w:val="both"/>
        <w:rPr>
          <w:rFonts w:ascii="Arial" w:hAnsi="Arial" w:cs="Arial"/>
        </w:rPr>
      </w:pPr>
    </w:p>
    <w:p w:rsidR="0013082C" w:rsidRDefault="0013082C" w:rsidP="0013082C">
      <w:pPr>
        <w:spacing w:line="360" w:lineRule="auto"/>
        <w:jc w:val="both"/>
        <w:rPr>
          <w:rFonts w:ascii="Arial" w:hAnsi="Arial" w:cs="Arial"/>
        </w:rPr>
      </w:pPr>
    </w:p>
    <w:p w:rsidR="0013082C" w:rsidRDefault="0013082C" w:rsidP="0013082C">
      <w:pPr>
        <w:spacing w:line="360" w:lineRule="auto"/>
        <w:jc w:val="both"/>
        <w:rPr>
          <w:rFonts w:ascii="Arial" w:hAnsi="Arial" w:cs="Arial"/>
        </w:rPr>
      </w:pPr>
    </w:p>
    <w:p w:rsidR="0013082C" w:rsidRDefault="0013082C" w:rsidP="0013082C">
      <w:pPr>
        <w:spacing w:line="360" w:lineRule="auto"/>
        <w:jc w:val="both"/>
        <w:rPr>
          <w:rFonts w:ascii="Arial" w:hAnsi="Arial" w:cs="Arial"/>
        </w:rPr>
      </w:pPr>
    </w:p>
    <w:p w:rsidR="0013082C" w:rsidRPr="006726F4" w:rsidRDefault="0013082C" w:rsidP="0013082C">
      <w:pPr>
        <w:spacing w:line="360" w:lineRule="auto"/>
        <w:jc w:val="both"/>
      </w:pPr>
    </w:p>
    <w:p w:rsidR="0013082C" w:rsidRPr="0013082C" w:rsidRDefault="0013082C" w:rsidP="0013082C">
      <w:pPr>
        <w:spacing w:line="480" w:lineRule="auto"/>
        <w:jc w:val="center"/>
        <w:rPr>
          <w:rFonts w:ascii="Times New Roman" w:hAnsi="Times New Roman" w:cs="Times New Roman"/>
          <w:b/>
          <w:sz w:val="44"/>
          <w:szCs w:val="44"/>
        </w:rPr>
      </w:pPr>
      <w:r w:rsidRPr="0013082C">
        <w:rPr>
          <w:rFonts w:ascii="Times New Roman" w:hAnsi="Times New Roman" w:cs="Times New Roman"/>
          <w:b/>
          <w:sz w:val="44"/>
          <w:szCs w:val="44"/>
        </w:rPr>
        <w:t xml:space="preserve">Metody wyceny aktywów i pasywów oraz ustalenie wyniku finansowego </w:t>
      </w:r>
    </w:p>
    <w:p w:rsidR="0013082C" w:rsidRPr="0013082C" w:rsidRDefault="0013082C" w:rsidP="0013082C">
      <w:pPr>
        <w:spacing w:line="360" w:lineRule="auto"/>
        <w:jc w:val="center"/>
        <w:rPr>
          <w:rFonts w:ascii="Times New Roman" w:hAnsi="Times New Roman" w:cs="Times New Roman"/>
          <w:sz w:val="24"/>
          <w:szCs w:val="24"/>
        </w:rPr>
      </w:pPr>
    </w:p>
    <w:p w:rsidR="0013082C" w:rsidRPr="0013082C" w:rsidRDefault="0013082C" w:rsidP="0013082C">
      <w:pPr>
        <w:spacing w:line="360" w:lineRule="auto"/>
        <w:ind w:left="360"/>
        <w:jc w:val="both"/>
        <w:rPr>
          <w:rFonts w:ascii="Times New Roman" w:hAnsi="Times New Roman" w:cs="Times New Roman"/>
          <w:sz w:val="24"/>
          <w:szCs w:val="24"/>
        </w:rPr>
      </w:pPr>
    </w:p>
    <w:p w:rsidR="0013082C" w:rsidRPr="0013082C" w:rsidRDefault="0013082C" w:rsidP="0013082C">
      <w:pPr>
        <w:spacing w:line="360" w:lineRule="auto"/>
        <w:ind w:left="360"/>
        <w:jc w:val="both"/>
        <w:rPr>
          <w:rFonts w:ascii="Times New Roman" w:hAnsi="Times New Roman" w:cs="Times New Roman"/>
          <w:sz w:val="24"/>
          <w:szCs w:val="24"/>
        </w:rPr>
      </w:pPr>
    </w:p>
    <w:p w:rsidR="0013082C" w:rsidRPr="0013082C" w:rsidRDefault="0013082C" w:rsidP="0013082C">
      <w:pPr>
        <w:spacing w:line="360" w:lineRule="auto"/>
        <w:ind w:left="720"/>
        <w:jc w:val="both"/>
        <w:rPr>
          <w:rFonts w:ascii="Times New Roman" w:hAnsi="Times New Roman" w:cs="Times New Roman"/>
          <w:sz w:val="24"/>
          <w:szCs w:val="24"/>
        </w:rPr>
      </w:pPr>
    </w:p>
    <w:p w:rsidR="0013082C" w:rsidRPr="0013082C" w:rsidRDefault="0013082C" w:rsidP="0013082C">
      <w:pPr>
        <w:spacing w:line="360" w:lineRule="auto"/>
        <w:ind w:left="360"/>
        <w:jc w:val="both"/>
        <w:rPr>
          <w:rFonts w:ascii="Times New Roman" w:hAnsi="Times New Roman" w:cs="Times New Roman"/>
          <w:sz w:val="24"/>
          <w:szCs w:val="24"/>
        </w:rPr>
      </w:pPr>
    </w:p>
    <w:p w:rsidR="0013082C" w:rsidRPr="0013082C" w:rsidRDefault="0013082C" w:rsidP="0013082C">
      <w:pPr>
        <w:spacing w:line="360" w:lineRule="auto"/>
        <w:ind w:left="360"/>
        <w:jc w:val="both"/>
        <w:rPr>
          <w:rFonts w:ascii="Times New Roman" w:hAnsi="Times New Roman" w:cs="Times New Roman"/>
          <w:b/>
          <w:sz w:val="24"/>
          <w:szCs w:val="24"/>
        </w:rPr>
      </w:pPr>
    </w:p>
    <w:p w:rsidR="0013082C" w:rsidRPr="0013082C" w:rsidRDefault="0013082C" w:rsidP="0013082C">
      <w:pPr>
        <w:spacing w:line="360" w:lineRule="auto"/>
        <w:ind w:left="360"/>
        <w:jc w:val="both"/>
        <w:rPr>
          <w:rFonts w:ascii="Times New Roman" w:hAnsi="Times New Roman" w:cs="Times New Roman"/>
          <w:sz w:val="24"/>
          <w:szCs w:val="24"/>
        </w:rPr>
      </w:pPr>
    </w:p>
    <w:p w:rsidR="0013082C" w:rsidRPr="0013082C" w:rsidRDefault="0013082C" w:rsidP="0013082C">
      <w:pPr>
        <w:spacing w:line="360" w:lineRule="auto"/>
        <w:ind w:left="360"/>
        <w:rPr>
          <w:rFonts w:ascii="Times New Roman" w:hAnsi="Times New Roman" w:cs="Times New Roman"/>
          <w:sz w:val="24"/>
          <w:szCs w:val="24"/>
        </w:rPr>
      </w:pPr>
    </w:p>
    <w:p w:rsidR="0013082C" w:rsidRPr="0013082C" w:rsidRDefault="0013082C" w:rsidP="0013082C">
      <w:pPr>
        <w:spacing w:line="360" w:lineRule="auto"/>
        <w:ind w:left="360"/>
        <w:rPr>
          <w:rFonts w:ascii="Times New Roman" w:hAnsi="Times New Roman" w:cs="Times New Roman"/>
          <w:sz w:val="24"/>
          <w:szCs w:val="24"/>
        </w:rPr>
      </w:pPr>
    </w:p>
    <w:p w:rsidR="0013082C" w:rsidRPr="0013082C" w:rsidRDefault="0013082C" w:rsidP="0013082C">
      <w:pPr>
        <w:spacing w:line="360" w:lineRule="auto"/>
        <w:ind w:left="360"/>
        <w:rPr>
          <w:rFonts w:ascii="Times New Roman" w:hAnsi="Times New Roman" w:cs="Times New Roman"/>
          <w:sz w:val="24"/>
          <w:szCs w:val="24"/>
        </w:rPr>
      </w:pPr>
    </w:p>
    <w:p w:rsidR="0013082C" w:rsidRDefault="0013082C" w:rsidP="0013082C">
      <w:pPr>
        <w:spacing w:line="360" w:lineRule="auto"/>
        <w:rPr>
          <w:rFonts w:ascii="Times New Roman" w:hAnsi="Times New Roman" w:cs="Times New Roman"/>
          <w:b/>
          <w:sz w:val="24"/>
          <w:szCs w:val="24"/>
        </w:rPr>
      </w:pPr>
    </w:p>
    <w:p w:rsidR="0013082C" w:rsidRPr="0013082C" w:rsidRDefault="0013082C" w:rsidP="0013082C">
      <w:pPr>
        <w:spacing w:line="360" w:lineRule="auto"/>
        <w:rPr>
          <w:rFonts w:ascii="Times New Roman" w:hAnsi="Times New Roman" w:cs="Times New Roman"/>
          <w:b/>
          <w:sz w:val="24"/>
          <w:szCs w:val="24"/>
        </w:rPr>
      </w:pPr>
      <w:r w:rsidRPr="0013082C">
        <w:rPr>
          <w:rFonts w:ascii="Times New Roman" w:hAnsi="Times New Roman" w:cs="Times New Roman"/>
          <w:b/>
          <w:sz w:val="24"/>
          <w:szCs w:val="24"/>
        </w:rPr>
        <w:lastRenderedPageBreak/>
        <w:t>1. Obowiązujące zasady wyceny aktywów i pasywów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Aktywa i pasywa jednostki wycenia się nie rzadziej niż na dzień bilansowy według zasad określonych w ustawie o rachunkowości  oraz w przepisach szczególnych wydanych na podstawie ustawy o finansach publicznych według niżej przedstawionych zasad.</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Przy wycenie majątku likwidowanych jednostek lub postawionych w stan likwidacji</w:t>
      </w:r>
      <w:r w:rsidRPr="0013082C">
        <w:rPr>
          <w:rFonts w:ascii="Times New Roman" w:hAnsi="Times New Roman" w:cs="Times New Roman"/>
          <w:sz w:val="24"/>
          <w:szCs w:val="24"/>
        </w:rPr>
        <w:t xml:space="preserve"> stosuje się zasady wyceny ustalone w ustawie o rachunkowości dla jednostek kontynuujących działalność, chyba że przepisy dotyczące likwidacji stanowią inaczej.</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Przy sprzedaży, nieodpłatnym przekazaniu innej jednostce, darowiźnie i likwidacji zużytych składników majątku ruchomego powierzonego jednostkom budżetowym</w:t>
      </w:r>
      <w:r w:rsidRPr="0013082C">
        <w:rPr>
          <w:rFonts w:ascii="Times New Roman" w:hAnsi="Times New Roman" w:cs="Times New Roman"/>
          <w:sz w:val="24"/>
          <w:szCs w:val="24"/>
        </w:rPr>
        <w:t xml:space="preserve"> stosowane są zasady wyceny wynikające z rozporządzenia Rady Ministrów z dnia 21 października 2019 r. w sprawie  szczegółowego sposobu  gospodarowania składnikami rzeczowymi majątku ruchomego Skarbu Państwa (tekst jednolity: Dz. U z 2019 r., poz. 2004).</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Aktywa – </w:t>
      </w:r>
      <w:r w:rsidRPr="0013082C">
        <w:rPr>
          <w:rFonts w:ascii="Times New Roman" w:hAnsi="Times New Roman" w:cs="Times New Roman"/>
          <w:sz w:val="24"/>
          <w:szCs w:val="24"/>
        </w:rPr>
        <w:t>są to kontrolowane przez jednostkę zasoby majątkowe o wiarygodnie określonej wartości, powstałe w wyniku przeszłych zdarzeń, które spowodują w przyszłości wpływ do jednostki korzyści ekonomicznych.</w:t>
      </w:r>
    </w:p>
    <w:p w:rsidR="0013082C" w:rsidRPr="0013082C" w:rsidRDefault="0013082C" w:rsidP="0013082C">
      <w:pPr>
        <w:spacing w:line="360" w:lineRule="auto"/>
        <w:rPr>
          <w:rFonts w:ascii="Times New Roman" w:hAnsi="Times New Roman" w:cs="Times New Roman"/>
          <w:b/>
          <w:sz w:val="24"/>
          <w:szCs w:val="24"/>
        </w:rPr>
      </w:pPr>
    </w:p>
    <w:p w:rsidR="0013082C" w:rsidRPr="0013082C" w:rsidRDefault="0013082C" w:rsidP="0013082C">
      <w:pPr>
        <w:spacing w:line="360" w:lineRule="auto"/>
        <w:jc w:val="center"/>
        <w:rPr>
          <w:rFonts w:ascii="Times New Roman" w:hAnsi="Times New Roman" w:cs="Times New Roman"/>
          <w:b/>
          <w:i/>
          <w:sz w:val="24"/>
          <w:szCs w:val="24"/>
        </w:rPr>
      </w:pPr>
      <w:r w:rsidRPr="0013082C">
        <w:rPr>
          <w:rFonts w:ascii="Times New Roman" w:hAnsi="Times New Roman" w:cs="Times New Roman"/>
          <w:b/>
          <w:i/>
          <w:sz w:val="24"/>
          <w:szCs w:val="24"/>
        </w:rPr>
        <w:t>A. AKTYWA TRWAŁE</w:t>
      </w:r>
    </w:p>
    <w:p w:rsidR="0013082C" w:rsidRPr="0013082C" w:rsidRDefault="0013082C" w:rsidP="0013082C">
      <w:pPr>
        <w:jc w:val="both"/>
        <w:rPr>
          <w:rFonts w:ascii="Times New Roman" w:hAnsi="Times New Roman" w:cs="Times New Roman"/>
          <w:i/>
          <w:sz w:val="24"/>
          <w:szCs w:val="24"/>
        </w:rPr>
      </w:pPr>
      <w:r w:rsidRPr="0013082C">
        <w:rPr>
          <w:rFonts w:ascii="Times New Roman" w:hAnsi="Times New Roman" w:cs="Times New Roman"/>
          <w:b/>
          <w:sz w:val="24"/>
          <w:szCs w:val="24"/>
        </w:rPr>
        <w:t xml:space="preserve">1.Wartości niematerialne i prawne – </w:t>
      </w:r>
      <w:r w:rsidRPr="0013082C">
        <w:rPr>
          <w:rFonts w:ascii="Times New Roman" w:hAnsi="Times New Roman" w:cs="Times New Roman"/>
          <w:i/>
          <w:sz w:val="24"/>
          <w:szCs w:val="24"/>
        </w:rPr>
        <w:t>są to nabyte przez jednostkę i zaliczane do aktywów</w:t>
      </w:r>
      <w:r w:rsidRPr="0013082C">
        <w:rPr>
          <w:rFonts w:ascii="Times New Roman" w:hAnsi="Times New Roman" w:cs="Times New Roman"/>
          <w:b/>
          <w:i/>
          <w:sz w:val="24"/>
          <w:szCs w:val="24"/>
        </w:rPr>
        <w:t xml:space="preserve">  </w:t>
      </w:r>
      <w:r w:rsidRPr="0013082C">
        <w:rPr>
          <w:rFonts w:ascii="Times New Roman" w:hAnsi="Times New Roman" w:cs="Times New Roman"/>
          <w:i/>
          <w:sz w:val="24"/>
          <w:szCs w:val="24"/>
        </w:rPr>
        <w:t xml:space="preserve">trwałych prawa majątkowe nadające się do gospodarczego wykorzystania </w:t>
      </w:r>
      <w:r w:rsidRPr="0013082C">
        <w:rPr>
          <w:rFonts w:ascii="Times New Roman" w:hAnsi="Times New Roman" w:cs="Times New Roman"/>
          <w:b/>
          <w:i/>
          <w:sz w:val="24"/>
          <w:szCs w:val="24"/>
        </w:rPr>
        <w:t>o przewidywanym okresie ekonomicznej użyteczności dłuższym niż rok</w:t>
      </w:r>
      <w:r w:rsidRPr="0013082C">
        <w:rPr>
          <w:rFonts w:ascii="Times New Roman" w:hAnsi="Times New Roman" w:cs="Times New Roman"/>
          <w:i/>
          <w:sz w:val="24"/>
          <w:szCs w:val="24"/>
        </w:rPr>
        <w:t>, przeznaczone do używania na potrzeby jednostki.</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W jednostce do wartości niematerialnych i prawnych zalicza się w szczególności:</w:t>
      </w:r>
    </w:p>
    <w:p w:rsidR="0013082C" w:rsidRPr="0013082C" w:rsidRDefault="0013082C" w:rsidP="0013082C">
      <w:pPr>
        <w:numPr>
          <w:ilvl w:val="0"/>
          <w:numId w:val="2"/>
        </w:numPr>
        <w:spacing w:after="0" w:line="240" w:lineRule="auto"/>
        <w:jc w:val="both"/>
        <w:rPr>
          <w:rFonts w:ascii="Times New Roman" w:hAnsi="Times New Roman" w:cs="Times New Roman"/>
          <w:b/>
          <w:sz w:val="24"/>
          <w:szCs w:val="24"/>
        </w:rPr>
      </w:pPr>
      <w:r w:rsidRPr="0013082C">
        <w:rPr>
          <w:rFonts w:ascii="Times New Roman" w:hAnsi="Times New Roman" w:cs="Times New Roman"/>
          <w:b/>
          <w:sz w:val="24"/>
          <w:szCs w:val="24"/>
        </w:rPr>
        <w:t>Licencje na programy komputerowe, łącznie z kosztem instalacji i uruchomienia programu oraz systemów komputerowych.</w:t>
      </w:r>
    </w:p>
    <w:p w:rsidR="0013082C" w:rsidRPr="0013082C" w:rsidRDefault="0013082C" w:rsidP="0013082C">
      <w:pPr>
        <w:rPr>
          <w:rFonts w:ascii="Times New Roman" w:hAnsi="Times New Roman" w:cs="Times New Roman"/>
          <w:sz w:val="24"/>
          <w:szCs w:val="24"/>
        </w:rPr>
      </w:pP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wyceny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Wartości niematerialne i prawne nabyte z własnych środków wprowadza się do ewidencji               w cenie nabycia (wartość początkowa), pomniejszonych o odpisy amortyzacyjne lub umorzeniowe, a także odpisy z tytułu trwałej utraty wartości; zaś otrzymane nieodpłatnie na podstawie decyzji właściwego organu w wartości określonej w tej decyzji, a otrzymane na podstawie darowizny </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 xml:space="preserve">w wartości rynkowej na dzień nabycia. </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Wartość rynkowa określana jest na podstawie przeciętnych cen stosowanych w obrocie rzeczami tego samego rodzaju i gatunku, z uwzględnieniem ich stanu i stopnia zużycia.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lastRenderedPageBreak/>
        <w:t xml:space="preserve">W przypadku przeznaczenia </w:t>
      </w:r>
      <w:r w:rsidRPr="0013082C">
        <w:rPr>
          <w:rFonts w:ascii="Times New Roman" w:hAnsi="Times New Roman" w:cs="Times New Roman"/>
          <w:b/>
          <w:sz w:val="24"/>
          <w:szCs w:val="24"/>
        </w:rPr>
        <w:t>do likwidacji, wycofania z używania</w:t>
      </w:r>
      <w:r w:rsidRPr="0013082C">
        <w:rPr>
          <w:rFonts w:ascii="Times New Roman" w:hAnsi="Times New Roman" w:cs="Times New Roman"/>
          <w:sz w:val="24"/>
          <w:szCs w:val="24"/>
        </w:rPr>
        <w:t xml:space="preserve"> lub innych przyczyn powodujących trwałą utratę wartości aktywów niematerialnych i prawnych, dokonuje się odpowiedniego odpisu aktualizującego ich wartość w ciężar pozostałych kosztów operacyjnych </w:t>
      </w:r>
      <w:r w:rsidRPr="0013082C">
        <w:rPr>
          <w:rFonts w:ascii="Times New Roman" w:hAnsi="Times New Roman" w:cs="Times New Roman"/>
          <w:b/>
          <w:sz w:val="24"/>
          <w:szCs w:val="24"/>
        </w:rPr>
        <w:t xml:space="preserve">(konto 760) </w:t>
      </w:r>
      <w:r w:rsidRPr="0013082C">
        <w:rPr>
          <w:rFonts w:ascii="Times New Roman" w:hAnsi="Times New Roman" w:cs="Times New Roman"/>
          <w:sz w:val="24"/>
          <w:szCs w:val="24"/>
        </w:rPr>
        <w:t>– trwała utrata wartości niematerialnych i prawnych.</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i stawki amortyzacji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Wartości niematerialne i prawne</w:t>
      </w:r>
      <w:r w:rsidRPr="0013082C">
        <w:rPr>
          <w:rFonts w:ascii="Times New Roman" w:hAnsi="Times New Roman" w:cs="Times New Roman"/>
          <w:sz w:val="24"/>
          <w:szCs w:val="24"/>
        </w:rPr>
        <w:t xml:space="preserve"> o wartości początkowej wyższej od wartości </w:t>
      </w:r>
      <w:r w:rsidRPr="0013082C">
        <w:rPr>
          <w:rFonts w:ascii="Times New Roman" w:hAnsi="Times New Roman" w:cs="Times New Roman"/>
          <w:b/>
          <w:sz w:val="24"/>
          <w:szCs w:val="24"/>
        </w:rPr>
        <w:t xml:space="preserve">„10 000,00 zł” </w:t>
      </w:r>
      <w:r w:rsidRPr="0013082C">
        <w:rPr>
          <w:rFonts w:ascii="Times New Roman" w:hAnsi="Times New Roman" w:cs="Times New Roman"/>
          <w:sz w:val="24"/>
          <w:szCs w:val="24"/>
        </w:rPr>
        <w:t xml:space="preserve">podlegają stopniowemu umorzeniu na podstawie aktualnego planu amortyzacji, przy zastosowaniu rocznych stawek amortyzacyjnych: </w:t>
      </w:r>
    </w:p>
    <w:p w:rsidR="0013082C" w:rsidRPr="0013082C" w:rsidRDefault="0013082C" w:rsidP="0013082C">
      <w:pPr>
        <w:numPr>
          <w:ilvl w:val="0"/>
          <w:numId w:val="2"/>
        </w:numPr>
        <w:spacing w:after="0" w:line="240" w:lineRule="auto"/>
        <w:jc w:val="both"/>
        <w:rPr>
          <w:rFonts w:ascii="Times New Roman" w:hAnsi="Times New Roman" w:cs="Times New Roman"/>
          <w:b/>
          <w:sz w:val="24"/>
          <w:szCs w:val="24"/>
        </w:rPr>
      </w:pPr>
      <w:r w:rsidRPr="0013082C">
        <w:rPr>
          <w:rFonts w:ascii="Times New Roman" w:hAnsi="Times New Roman" w:cs="Times New Roman"/>
          <w:b/>
          <w:sz w:val="24"/>
          <w:szCs w:val="24"/>
        </w:rPr>
        <w:t>określonych w przepisach o podatku dochodowym od osób prawnych, w tym:</w:t>
      </w:r>
    </w:p>
    <w:p w:rsidR="0013082C" w:rsidRPr="0013082C" w:rsidRDefault="0013082C" w:rsidP="0013082C">
      <w:pPr>
        <w:ind w:left="720"/>
        <w:jc w:val="both"/>
        <w:rPr>
          <w:rFonts w:ascii="Times New Roman" w:hAnsi="Times New Roman" w:cs="Times New Roman"/>
          <w:bCs/>
          <w:sz w:val="24"/>
          <w:szCs w:val="24"/>
        </w:rPr>
      </w:pPr>
      <w:r w:rsidRPr="0013082C">
        <w:rPr>
          <w:rFonts w:ascii="Times New Roman" w:hAnsi="Times New Roman" w:cs="Times New Roman"/>
          <w:bCs/>
          <w:sz w:val="24"/>
          <w:szCs w:val="24"/>
        </w:rPr>
        <w:t>- 50% na programy komputerowe oraz prawa autorskie</w:t>
      </w:r>
    </w:p>
    <w:p w:rsidR="0013082C" w:rsidRPr="0013082C" w:rsidRDefault="0013082C" w:rsidP="0013082C">
      <w:pPr>
        <w:ind w:left="720"/>
        <w:jc w:val="both"/>
        <w:rPr>
          <w:rFonts w:ascii="Times New Roman" w:hAnsi="Times New Roman" w:cs="Times New Roman"/>
          <w:bCs/>
          <w:sz w:val="24"/>
          <w:szCs w:val="24"/>
        </w:rPr>
      </w:pPr>
      <w:r w:rsidRPr="0013082C">
        <w:rPr>
          <w:rFonts w:ascii="Times New Roman" w:hAnsi="Times New Roman" w:cs="Times New Roman"/>
          <w:bCs/>
          <w:sz w:val="24"/>
          <w:szCs w:val="24"/>
        </w:rPr>
        <w:t>- 20% na pozostałe wartości niematerialne i prawne.</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Wówczas zakup ten finansuje się ze środków na inwestycje konto </w:t>
      </w:r>
      <w:r w:rsidRPr="0013082C">
        <w:rPr>
          <w:rFonts w:ascii="Times New Roman" w:hAnsi="Times New Roman" w:cs="Times New Roman"/>
          <w:b/>
          <w:sz w:val="24"/>
          <w:szCs w:val="24"/>
        </w:rPr>
        <w:t xml:space="preserve">080 „Inwestycje (środki trwałe w budowie)” </w:t>
      </w:r>
      <w:r w:rsidRPr="0013082C">
        <w:rPr>
          <w:rFonts w:ascii="Times New Roman" w:hAnsi="Times New Roman" w:cs="Times New Roman"/>
          <w:sz w:val="24"/>
          <w:szCs w:val="24"/>
        </w:rPr>
        <w:t xml:space="preserve">i umarza się stopniowo. Umorzenie ujmowane jest na koncie  </w:t>
      </w:r>
      <w:r w:rsidRPr="0013082C">
        <w:rPr>
          <w:rFonts w:ascii="Times New Roman" w:hAnsi="Times New Roman" w:cs="Times New Roman"/>
          <w:b/>
          <w:sz w:val="24"/>
          <w:szCs w:val="24"/>
        </w:rPr>
        <w:t>Ma</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071 „Umorzenie środków trwałych oraz wartości niematerialnych i prawnych”</w:t>
      </w:r>
      <w:r w:rsidR="00220251">
        <w:rPr>
          <w:rFonts w:ascii="Times New Roman" w:hAnsi="Times New Roman" w:cs="Times New Roman"/>
          <w:b/>
          <w:sz w:val="24"/>
          <w:szCs w:val="24"/>
        </w:rPr>
        <w:t xml:space="preserve"> </w:t>
      </w:r>
      <w:r w:rsidRPr="0013082C">
        <w:rPr>
          <w:rFonts w:ascii="Times New Roman" w:hAnsi="Times New Roman" w:cs="Times New Roman"/>
          <w:sz w:val="24"/>
          <w:szCs w:val="24"/>
        </w:rPr>
        <w:t xml:space="preserve">w korespondencji z kontem </w:t>
      </w:r>
      <w:r w:rsidRPr="0013082C">
        <w:rPr>
          <w:rFonts w:ascii="Times New Roman" w:hAnsi="Times New Roman" w:cs="Times New Roman"/>
          <w:b/>
          <w:sz w:val="24"/>
          <w:szCs w:val="24"/>
        </w:rPr>
        <w:t>Wn 400 „Amortyzacja”.</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 xml:space="preserve">Jednostka dokonuje odpisów amortyzacyjnych jednorazowo na koniec roku obrotowego, </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z tym, że suma odpisów amortyzacyjnych dla wartości niematerialnych</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 xml:space="preserve">i prawnych wprowadzonych do ewidencji w ciągu roku ustalana jest w proporcji do okresu używania </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w danym roku.</w:t>
      </w:r>
    </w:p>
    <w:p w:rsidR="0013082C" w:rsidRPr="0013082C" w:rsidRDefault="0013082C" w:rsidP="0013082C">
      <w:pPr>
        <w:spacing w:line="360" w:lineRule="auto"/>
        <w:jc w:val="both"/>
        <w:rPr>
          <w:rFonts w:ascii="Times New Roman" w:hAnsi="Times New Roman" w:cs="Times New Roman"/>
          <w:sz w:val="24"/>
          <w:szCs w:val="24"/>
          <w:u w:val="single"/>
        </w:rPr>
      </w:pPr>
      <w:r w:rsidRPr="0013082C">
        <w:rPr>
          <w:rFonts w:ascii="Times New Roman" w:hAnsi="Times New Roman" w:cs="Times New Roman"/>
          <w:sz w:val="24"/>
          <w:szCs w:val="24"/>
          <w:u w:val="single"/>
        </w:rPr>
        <w:t>Rozpoczęcie amortyzacji  wartości niematerialnych i prawnych określonych powyżej następuje od pierwszego miesiąca następującego po miesiącu, w którym wartości niematerialne i prawne przyjęto do używania, do końca miesiąca, w którym następuje zrównanie sumy odpisów amortyzacyjnych z wartością początkową lub w którym postawiono je w stan likwidacji, zbyto lub stwierdzono niedobór.</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Do dokonywania odpisów amortyzacyjnych (umorzeniowych) wybiera się metodę liniową.  </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Wartości niematerialne i prawne zakupione ze środków na wydatki bieżące:</w:t>
      </w:r>
    </w:p>
    <w:p w:rsidR="0013082C" w:rsidRPr="0013082C" w:rsidRDefault="0013082C" w:rsidP="0013082C">
      <w:pPr>
        <w:numPr>
          <w:ilvl w:val="0"/>
          <w:numId w:val="2"/>
        </w:numPr>
        <w:spacing w:after="0" w:line="240" w:lineRule="auto"/>
        <w:ind w:left="714" w:hanging="357"/>
        <w:jc w:val="both"/>
        <w:rPr>
          <w:rFonts w:ascii="Times New Roman" w:hAnsi="Times New Roman" w:cs="Times New Roman"/>
          <w:b/>
          <w:sz w:val="24"/>
          <w:szCs w:val="24"/>
        </w:rPr>
      </w:pPr>
      <w:r w:rsidRPr="0013082C">
        <w:rPr>
          <w:rFonts w:ascii="Times New Roman" w:hAnsi="Times New Roman" w:cs="Times New Roman"/>
          <w:sz w:val="24"/>
          <w:szCs w:val="24"/>
        </w:rPr>
        <w:t xml:space="preserve">traktuje się jako pozostałe wartości niematerialne i prawne, które </w:t>
      </w:r>
      <w:r w:rsidRPr="0013082C">
        <w:rPr>
          <w:rFonts w:ascii="Times New Roman" w:hAnsi="Times New Roman" w:cs="Times New Roman"/>
          <w:b/>
          <w:sz w:val="24"/>
          <w:szCs w:val="24"/>
        </w:rPr>
        <w:t>umarzane są</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w 100%</w:t>
      </w:r>
      <w:r w:rsidRPr="0013082C">
        <w:rPr>
          <w:rFonts w:ascii="Times New Roman" w:hAnsi="Times New Roman" w:cs="Times New Roman"/>
          <w:sz w:val="24"/>
          <w:szCs w:val="24"/>
        </w:rPr>
        <w:t xml:space="preserve">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w miesiącu przyjęcia do używania, a umorzenie to ujmowane jest na koncie </w:t>
      </w:r>
      <w:r w:rsidRPr="0013082C">
        <w:rPr>
          <w:rFonts w:ascii="Times New Roman" w:hAnsi="Times New Roman" w:cs="Times New Roman"/>
          <w:b/>
          <w:sz w:val="24"/>
          <w:szCs w:val="24"/>
        </w:rPr>
        <w:t xml:space="preserve">Ma 072 „Umorzenie pozostałych środków trwałych oraz wartości niematerialnych i prawnych” </w:t>
      </w:r>
      <w:r w:rsidRPr="0013082C">
        <w:rPr>
          <w:rFonts w:ascii="Times New Roman" w:hAnsi="Times New Roman" w:cs="Times New Roman"/>
          <w:sz w:val="24"/>
          <w:szCs w:val="24"/>
        </w:rPr>
        <w:t xml:space="preserve">w korespondencji z kontem  </w:t>
      </w:r>
      <w:r w:rsidRPr="0013082C">
        <w:rPr>
          <w:rFonts w:ascii="Times New Roman" w:hAnsi="Times New Roman" w:cs="Times New Roman"/>
          <w:b/>
          <w:sz w:val="24"/>
          <w:szCs w:val="24"/>
        </w:rPr>
        <w:t>Wn</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400 „Koszty według rodzaju”.</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 xml:space="preserve">Modyfikacja </w:t>
      </w:r>
      <w:r w:rsidRPr="0013082C">
        <w:rPr>
          <w:rFonts w:ascii="Times New Roman" w:hAnsi="Times New Roman" w:cs="Times New Roman"/>
          <w:b/>
          <w:sz w:val="24"/>
          <w:szCs w:val="24"/>
        </w:rPr>
        <w:t xml:space="preserve">(aktualizacja) </w:t>
      </w:r>
      <w:r w:rsidRPr="0013082C">
        <w:rPr>
          <w:rFonts w:ascii="Times New Roman" w:hAnsi="Times New Roman" w:cs="Times New Roman"/>
          <w:sz w:val="24"/>
          <w:szCs w:val="24"/>
        </w:rPr>
        <w:t>programu, zależnie od jego ceny, stanowi :</w:t>
      </w:r>
    </w:p>
    <w:p w:rsidR="0013082C" w:rsidRPr="0013082C" w:rsidRDefault="0013082C" w:rsidP="0013082C">
      <w:pPr>
        <w:numPr>
          <w:ilvl w:val="0"/>
          <w:numId w:val="2"/>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b/>
          <w:sz w:val="24"/>
          <w:szCs w:val="24"/>
        </w:rPr>
        <w:t>o wartości równej lub powyżej 10 000 zł</w:t>
      </w:r>
      <w:r w:rsidRPr="0013082C">
        <w:rPr>
          <w:rFonts w:ascii="Times New Roman" w:hAnsi="Times New Roman" w:cs="Times New Roman"/>
          <w:sz w:val="24"/>
          <w:szCs w:val="24"/>
        </w:rPr>
        <w:t xml:space="preserve"> samodzielny tytuł wartości niematerialnych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i prawnych,</w:t>
      </w:r>
    </w:p>
    <w:p w:rsidR="0013082C" w:rsidRPr="0013082C" w:rsidRDefault="0013082C" w:rsidP="0013082C">
      <w:pPr>
        <w:numPr>
          <w:ilvl w:val="0"/>
          <w:numId w:val="2"/>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b/>
          <w:sz w:val="24"/>
          <w:szCs w:val="24"/>
        </w:rPr>
        <w:t xml:space="preserve">o wartości poniżej 10 000 zł </w:t>
      </w:r>
      <w:r w:rsidRPr="0013082C">
        <w:rPr>
          <w:rFonts w:ascii="Times New Roman" w:hAnsi="Times New Roman" w:cs="Times New Roman"/>
          <w:sz w:val="24"/>
          <w:szCs w:val="24"/>
        </w:rPr>
        <w:t>zaliczana jest bezpośrednio w koszty.</w:t>
      </w: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b/>
          <w:sz w:val="24"/>
          <w:szCs w:val="24"/>
        </w:rPr>
        <w:t xml:space="preserve">2.Rzeczowe aktywa trwałe </w:t>
      </w:r>
      <w:r w:rsidRPr="0013082C">
        <w:rPr>
          <w:rFonts w:ascii="Times New Roman" w:hAnsi="Times New Roman" w:cs="Times New Roman"/>
          <w:sz w:val="24"/>
          <w:szCs w:val="24"/>
        </w:rPr>
        <w:t>obejmują:</w:t>
      </w:r>
    </w:p>
    <w:p w:rsidR="0013082C" w:rsidRPr="0013082C" w:rsidRDefault="0013082C" w:rsidP="0013082C">
      <w:pPr>
        <w:numPr>
          <w:ilvl w:val="1"/>
          <w:numId w:val="3"/>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Środki trwałe – konto 011,</w:t>
      </w:r>
    </w:p>
    <w:p w:rsidR="0013082C" w:rsidRPr="0013082C" w:rsidRDefault="0013082C" w:rsidP="0013082C">
      <w:pPr>
        <w:numPr>
          <w:ilvl w:val="1"/>
          <w:numId w:val="3"/>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Pozostałe środki trwałe – konto 013,</w:t>
      </w:r>
    </w:p>
    <w:p w:rsidR="0013082C" w:rsidRPr="0013082C" w:rsidRDefault="0013082C" w:rsidP="0013082C">
      <w:pPr>
        <w:numPr>
          <w:ilvl w:val="1"/>
          <w:numId w:val="3"/>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Inwestycje (środki trwałe w budowie) – konto 080.</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Środki trwałe</w:t>
      </w:r>
      <w:r w:rsidRPr="0013082C">
        <w:rPr>
          <w:rFonts w:ascii="Times New Roman" w:hAnsi="Times New Roman" w:cs="Times New Roman"/>
          <w:sz w:val="24"/>
          <w:szCs w:val="24"/>
        </w:rPr>
        <w:t xml:space="preserve"> – to rzeczowe aktywa trwałe  i zrównane z nimi o przewidywanym okresie ekonomicznej użyteczności dłuższym niż rok, kompletne, zdatne do użytku i przeznaczone na potrzeby jednostki.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Środki trwałe w jednostce podzielone są w ewidencji na dwie kategorie, w zależności od wartości początkowej. Kategorie te księguje się na oddzielnych kontach:</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 xml:space="preserve">1)  środki trwałe” – </w:t>
      </w:r>
      <w:r w:rsidRPr="0013082C">
        <w:rPr>
          <w:rFonts w:ascii="Times New Roman" w:hAnsi="Times New Roman" w:cs="Times New Roman"/>
          <w:b/>
          <w:sz w:val="24"/>
          <w:szCs w:val="24"/>
        </w:rPr>
        <w:t>konto 011,</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sz w:val="24"/>
          <w:szCs w:val="24"/>
        </w:rPr>
        <w:t xml:space="preserve">2) pozostałe środki trwałe – </w:t>
      </w:r>
      <w:r w:rsidRPr="0013082C">
        <w:rPr>
          <w:rFonts w:ascii="Times New Roman" w:hAnsi="Times New Roman" w:cs="Times New Roman"/>
          <w:b/>
          <w:sz w:val="24"/>
          <w:szCs w:val="24"/>
        </w:rPr>
        <w:t>konto 013.</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2.1. Środki trwałe obejmują w szczególności:</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grunty (w tym prawo wieczystego użytkowania gruntu),</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lokale będące odrębną własnością,</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budynki,</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budowle,</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maszyny i urządzenia,</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środki transportu  i inne rzeczy,</w:t>
      </w:r>
    </w:p>
    <w:p w:rsidR="0013082C" w:rsidRPr="0013082C" w:rsidRDefault="0013082C" w:rsidP="0013082C">
      <w:pPr>
        <w:numPr>
          <w:ilvl w:val="0"/>
          <w:numId w:val="4"/>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ulepszenia w obcych środkach trwałych.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Do środków trwałych jednostki zalicza się także obce środki trwałe znajdujące się w jej użytkowaniu na podstawie art. 3 ust. 4 ustawy o rachunkowości, jeśli występuje ona jako „korzystający”.</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Za wartość początkową środka trwałego przyjmuje się wartość  równą lub wyższą </w:t>
      </w:r>
      <w:r w:rsidRPr="0013082C">
        <w:rPr>
          <w:rFonts w:ascii="Times New Roman" w:hAnsi="Times New Roman" w:cs="Times New Roman"/>
          <w:b/>
          <w:sz w:val="24"/>
          <w:szCs w:val="24"/>
        </w:rPr>
        <w:t>10 000 zł.</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Składniki majątkowe zaliczane do „środków trwałych”, których wartość jest niższa niż                       10 000 zł, a były ujęte w ewidencji środków trwałych (konto 011) ze względu na znaczącą wartość w danym okresie pozostaną nadal w tej ewidencji do momentu likwidacji.</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wyceny</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Środki trwałe w dniu przyjęcia do użytkowania wycenia się:</w:t>
      </w:r>
    </w:p>
    <w:p w:rsidR="0013082C" w:rsidRP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w przypadku zakupu – według ceny nabycia lub ceny  zakupu,  jeśli koszty zakupu nie stanowią istotnej wartości,</w:t>
      </w:r>
    </w:p>
    <w:p w:rsidR="0013082C" w:rsidRP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 xml:space="preserve">w przypadku wytworzenia we własnym zakresie – według kosztu wytworzenia, </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zaś</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w przypadku trudności z ustaleniem kosztu wytworzenia – według wyceny dokonanej przez rzeczoznawcę,</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 xml:space="preserve">w przypadku ujawnienia w trakcie inwentaryzacji – według posiadanych dokumentów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uwzględnieniem zużycia, a przy ich braku według wartości godziwej,</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 xml:space="preserve">w przypadku spadku lub darowizny – według wartości godziwej z dnia otrzymania lub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niższej wartości określonej w mowie o przekazaniu,</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w przypadku otrzymania w sposób nieodpłatny od Skarbu Państwa lub jednostki samorządu terytorialnego – w wysokości określonej w decyzji o przekazaniu,</w:t>
      </w:r>
    </w:p>
    <w:p w:rsidR="0013082C" w:rsidRPr="0013082C" w:rsidRDefault="0013082C" w:rsidP="0013082C">
      <w:pPr>
        <w:jc w:val="both"/>
        <w:rPr>
          <w:rFonts w:ascii="Times New Roman" w:hAnsi="Times New Roman" w:cs="Times New Roman"/>
          <w:sz w:val="24"/>
          <w:szCs w:val="24"/>
        </w:rPr>
      </w:pPr>
    </w:p>
    <w:p w:rsidR="0013082C" w:rsidRDefault="0013082C" w:rsidP="0013082C">
      <w:pPr>
        <w:numPr>
          <w:ilvl w:val="0"/>
          <w:numId w:val="5"/>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 xml:space="preserve">w przypadku otrzymania środka na skutek wymiany środka niesprawnego –                              w wysokości wynikającej z dowodu dostawy, z podaniem </w:t>
      </w:r>
      <w:r w:rsidR="00011DB3">
        <w:rPr>
          <w:rFonts w:ascii="Times New Roman" w:hAnsi="Times New Roman" w:cs="Times New Roman"/>
          <w:sz w:val="24"/>
          <w:szCs w:val="24"/>
        </w:rPr>
        <w:t>cech szczególnych nowego środka,</w:t>
      </w:r>
    </w:p>
    <w:p w:rsidR="00011DB3" w:rsidRDefault="00011DB3" w:rsidP="00011DB3">
      <w:pPr>
        <w:spacing w:after="0" w:line="240" w:lineRule="auto"/>
        <w:ind w:left="714"/>
        <w:jc w:val="both"/>
        <w:rPr>
          <w:rFonts w:ascii="Times New Roman" w:hAnsi="Times New Roman" w:cs="Times New Roman"/>
          <w:sz w:val="24"/>
          <w:szCs w:val="24"/>
        </w:rPr>
      </w:pPr>
    </w:p>
    <w:p w:rsidR="00011DB3" w:rsidRDefault="00011DB3" w:rsidP="0013082C">
      <w:pPr>
        <w:numPr>
          <w:ilvl w:val="0"/>
          <w:numId w:val="5"/>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w przypadku gruntów powstałych z podziału </w:t>
      </w:r>
      <w:r w:rsidR="00D50685">
        <w:rPr>
          <w:rFonts w:ascii="Times New Roman" w:hAnsi="Times New Roman" w:cs="Times New Roman"/>
          <w:sz w:val="24"/>
          <w:szCs w:val="24"/>
        </w:rPr>
        <w:t xml:space="preserve"> - </w:t>
      </w:r>
      <w:r>
        <w:rPr>
          <w:rFonts w:ascii="Times New Roman" w:hAnsi="Times New Roman" w:cs="Times New Roman"/>
          <w:sz w:val="24"/>
          <w:szCs w:val="24"/>
        </w:rPr>
        <w:t>wyceny dokonuje się na podstawie iloczynu powierzchni działki z obowiązującą poniżej stawką</w:t>
      </w:r>
      <w:r w:rsidR="00D50685">
        <w:rPr>
          <w:rFonts w:ascii="Times New Roman" w:hAnsi="Times New Roman" w:cs="Times New Roman"/>
          <w:sz w:val="24"/>
          <w:szCs w:val="24"/>
        </w:rPr>
        <w:t xml:space="preserve">, </w:t>
      </w:r>
      <w:r w:rsidR="00AE1AD2">
        <w:rPr>
          <w:rFonts w:ascii="Times New Roman" w:hAnsi="Times New Roman" w:cs="Times New Roman"/>
          <w:sz w:val="24"/>
          <w:szCs w:val="24"/>
        </w:rPr>
        <w:t>ustaloną zgodnie</w:t>
      </w:r>
      <w:r w:rsidR="00D50685">
        <w:rPr>
          <w:rFonts w:ascii="Times New Roman" w:hAnsi="Times New Roman" w:cs="Times New Roman"/>
          <w:sz w:val="24"/>
          <w:szCs w:val="24"/>
        </w:rPr>
        <w:t xml:space="preserve"> z klasyfikacją</w:t>
      </w:r>
      <w:r w:rsidR="00AE1AD2">
        <w:rPr>
          <w:rFonts w:ascii="Times New Roman" w:hAnsi="Times New Roman" w:cs="Times New Roman"/>
          <w:sz w:val="24"/>
          <w:szCs w:val="24"/>
        </w:rPr>
        <w:t xml:space="preserve"> nieruchomości:</w:t>
      </w:r>
    </w:p>
    <w:p w:rsidR="00AE1AD2" w:rsidRDefault="00AE1AD2" w:rsidP="00AE1AD2">
      <w:pPr>
        <w:pStyle w:val="Bezodstpw"/>
        <w:ind w:left="720"/>
      </w:pPr>
    </w:p>
    <w:tbl>
      <w:tblPr>
        <w:tblpPr w:leftFromText="141" w:rightFromText="141" w:vertAnchor="text" w:horzAnchor="page" w:tblpX="4309" w:tblpY="250"/>
        <w:tblOverlap w:val="never"/>
        <w:tblW w:w="2357" w:type="dxa"/>
        <w:tblCellMar>
          <w:left w:w="70" w:type="dxa"/>
          <w:right w:w="70" w:type="dxa"/>
        </w:tblCellMar>
        <w:tblLook w:val="04A0" w:firstRow="1" w:lastRow="0" w:firstColumn="1" w:lastColumn="0" w:noHBand="0" w:noVBand="1"/>
      </w:tblPr>
      <w:tblGrid>
        <w:gridCol w:w="1297"/>
        <w:gridCol w:w="1060"/>
      </w:tblGrid>
      <w:tr w:rsidR="00AE1AD2" w:rsidRPr="00697B82" w:rsidTr="00356D92">
        <w:trPr>
          <w:trHeight w:val="274"/>
        </w:trPr>
        <w:tc>
          <w:tcPr>
            <w:tcW w:w="1297" w:type="dxa"/>
            <w:tcBorders>
              <w:top w:val="single" w:sz="4" w:space="0" w:color="auto"/>
              <w:left w:val="single" w:sz="4" w:space="0" w:color="auto"/>
              <w:bottom w:val="single" w:sz="4" w:space="0" w:color="auto"/>
              <w:right w:val="single" w:sz="4" w:space="0" w:color="auto"/>
            </w:tcBorders>
            <w:shd w:val="clear" w:color="CCFFCC" w:fill="DDDDDD"/>
            <w:noWrap/>
            <w:vAlign w:val="center"/>
            <w:hideMark/>
          </w:tcPr>
          <w:p w:rsidR="00AE1AD2" w:rsidRPr="00697B82" w:rsidRDefault="00AE1AD2" w:rsidP="00356D92">
            <w:pPr>
              <w:spacing w:after="0" w:line="240" w:lineRule="auto"/>
              <w:jc w:val="center"/>
              <w:rPr>
                <w:rFonts w:ascii="Arial" w:eastAsia="Times New Roman" w:hAnsi="Arial" w:cs="Arial"/>
                <w:b/>
                <w:bCs/>
                <w:sz w:val="16"/>
                <w:szCs w:val="16"/>
                <w:lang w:eastAsia="pl-PL"/>
              </w:rPr>
            </w:pPr>
            <w:r w:rsidRPr="00697B82">
              <w:rPr>
                <w:rFonts w:ascii="Arial" w:eastAsia="Times New Roman" w:hAnsi="Arial" w:cs="Arial"/>
                <w:b/>
                <w:bCs/>
                <w:sz w:val="16"/>
                <w:szCs w:val="16"/>
                <w:lang w:eastAsia="pl-PL"/>
              </w:rPr>
              <w:t>Klasyfikacja</w:t>
            </w:r>
          </w:p>
        </w:tc>
        <w:tc>
          <w:tcPr>
            <w:tcW w:w="1060" w:type="dxa"/>
            <w:tcBorders>
              <w:top w:val="single" w:sz="4" w:space="0" w:color="auto"/>
              <w:left w:val="nil"/>
              <w:bottom w:val="single" w:sz="4" w:space="0" w:color="auto"/>
              <w:right w:val="single" w:sz="4" w:space="0" w:color="auto"/>
            </w:tcBorders>
            <w:shd w:val="clear" w:color="CCFFCC" w:fill="DDDDDD"/>
            <w:vAlign w:val="center"/>
            <w:hideMark/>
          </w:tcPr>
          <w:p w:rsidR="00AE1AD2" w:rsidRPr="00697B82" w:rsidRDefault="00AE1AD2" w:rsidP="00356D92">
            <w:pPr>
              <w:spacing w:after="0" w:line="240" w:lineRule="auto"/>
              <w:jc w:val="center"/>
              <w:rPr>
                <w:rFonts w:ascii="Arial" w:eastAsia="Times New Roman" w:hAnsi="Arial" w:cs="Arial"/>
                <w:b/>
                <w:bCs/>
                <w:sz w:val="16"/>
                <w:szCs w:val="16"/>
                <w:lang w:eastAsia="pl-PL"/>
              </w:rPr>
            </w:pPr>
            <w:r w:rsidRPr="00697B82">
              <w:rPr>
                <w:rFonts w:ascii="Arial" w:eastAsia="Times New Roman" w:hAnsi="Arial" w:cs="Arial"/>
                <w:b/>
                <w:bCs/>
                <w:sz w:val="16"/>
                <w:szCs w:val="16"/>
                <w:lang w:eastAsia="pl-PL"/>
              </w:rPr>
              <w:t xml:space="preserve">Wartość </w:t>
            </w:r>
            <w:r>
              <w:rPr>
                <w:rFonts w:ascii="Arial" w:eastAsia="Times New Roman" w:hAnsi="Arial" w:cs="Arial"/>
                <w:b/>
                <w:bCs/>
                <w:sz w:val="16"/>
                <w:szCs w:val="16"/>
                <w:lang w:eastAsia="pl-PL"/>
              </w:rPr>
              <w:t xml:space="preserve">         </w:t>
            </w:r>
            <w:r w:rsidRPr="00697B82">
              <w:rPr>
                <w:rFonts w:ascii="Arial" w:eastAsia="Times New Roman" w:hAnsi="Arial" w:cs="Arial"/>
                <w:b/>
                <w:bCs/>
                <w:sz w:val="16"/>
                <w:szCs w:val="16"/>
                <w:lang w:eastAsia="pl-PL"/>
              </w:rPr>
              <w:t>za 1m2</w:t>
            </w:r>
          </w:p>
        </w:tc>
      </w:tr>
      <w:tr w:rsidR="00AE1AD2" w:rsidRPr="00697B82" w:rsidTr="00356D92">
        <w:trPr>
          <w:trHeight w:val="187"/>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010</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3,34 zł</w:t>
            </w:r>
          </w:p>
        </w:tc>
      </w:tr>
      <w:tr w:rsidR="00AE1AD2" w:rsidRPr="00697B82" w:rsidTr="00356D92">
        <w:trPr>
          <w:trHeight w:val="11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011</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2,91 zł</w:t>
            </w:r>
          </w:p>
        </w:tc>
      </w:tr>
      <w:tr w:rsidR="00AE1AD2" w:rsidRPr="00697B82" w:rsidTr="00356D92">
        <w:trPr>
          <w:trHeight w:val="7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012</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1,81 zł</w:t>
            </w:r>
          </w:p>
        </w:tc>
      </w:tr>
      <w:tr w:rsidR="00AE1AD2" w:rsidRPr="00697B82" w:rsidTr="00356D92">
        <w:trPr>
          <w:trHeight w:val="167"/>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013</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2,24 zł</w:t>
            </w:r>
          </w:p>
        </w:tc>
      </w:tr>
      <w:tr w:rsidR="00AE1AD2" w:rsidRPr="00697B82" w:rsidTr="00356D92">
        <w:trPr>
          <w:trHeight w:val="112"/>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014</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2,93 zł</w:t>
            </w:r>
          </w:p>
        </w:tc>
      </w:tr>
      <w:tr w:rsidR="00AE1AD2" w:rsidRPr="00697B82" w:rsidTr="00356D92">
        <w:trPr>
          <w:trHeight w:val="5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016</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1,81 zł</w:t>
            </w:r>
          </w:p>
        </w:tc>
      </w:tr>
      <w:tr w:rsidR="00AE1AD2" w:rsidRPr="00697B82" w:rsidTr="00356D92">
        <w:trPr>
          <w:trHeight w:val="147"/>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017</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3,18 zł</w:t>
            </w:r>
          </w:p>
        </w:tc>
      </w:tr>
      <w:tr w:rsidR="00AE1AD2" w:rsidRPr="00697B82" w:rsidTr="00356D92">
        <w:trPr>
          <w:trHeight w:val="7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018</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3,36 zł</w:t>
            </w:r>
          </w:p>
        </w:tc>
      </w:tr>
      <w:tr w:rsidR="00AE1AD2" w:rsidRPr="00697B82" w:rsidTr="00356D92">
        <w:trPr>
          <w:trHeight w:val="167"/>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020</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7,05 zł</w:t>
            </w:r>
          </w:p>
        </w:tc>
      </w:tr>
      <w:tr w:rsidR="00AE1AD2" w:rsidRPr="00697B82" w:rsidTr="00356D92">
        <w:trPr>
          <w:trHeight w:val="113"/>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021</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3,18 zł</w:t>
            </w:r>
          </w:p>
        </w:tc>
      </w:tr>
      <w:tr w:rsidR="00AE1AD2" w:rsidRPr="00697B82" w:rsidTr="00356D92">
        <w:trPr>
          <w:trHeight w:val="5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030</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35,26 zł</w:t>
            </w:r>
          </w:p>
        </w:tc>
      </w:tr>
      <w:tr w:rsidR="00AE1AD2" w:rsidRPr="00697B82" w:rsidTr="00356D92">
        <w:trPr>
          <w:trHeight w:val="146"/>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031</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38,56 zł</w:t>
            </w:r>
          </w:p>
        </w:tc>
      </w:tr>
      <w:tr w:rsidR="00AE1AD2" w:rsidRPr="00697B82" w:rsidTr="00356D92">
        <w:trPr>
          <w:trHeight w:val="105"/>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032</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41,27 zł</w:t>
            </w:r>
          </w:p>
        </w:tc>
      </w:tr>
      <w:tr w:rsidR="00AE1AD2" w:rsidRPr="00697B82" w:rsidTr="00356D92">
        <w:trPr>
          <w:trHeight w:val="193"/>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033</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30,14 zł</w:t>
            </w:r>
          </w:p>
        </w:tc>
      </w:tr>
      <w:tr w:rsidR="00AE1AD2" w:rsidRPr="00697B82" w:rsidTr="00356D92">
        <w:trPr>
          <w:trHeight w:val="58"/>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034</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15,28 zł</w:t>
            </w:r>
          </w:p>
        </w:tc>
      </w:tr>
      <w:tr w:rsidR="00AE1AD2" w:rsidRPr="00697B82" w:rsidTr="00356D92">
        <w:trPr>
          <w:trHeight w:val="85"/>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035</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38,56 zł</w:t>
            </w:r>
          </w:p>
        </w:tc>
      </w:tr>
      <w:tr w:rsidR="00AE1AD2" w:rsidRPr="00697B82" w:rsidTr="00356D92">
        <w:trPr>
          <w:trHeight w:val="173"/>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040</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15,00 zł</w:t>
            </w:r>
          </w:p>
        </w:tc>
      </w:tr>
      <w:tr w:rsidR="00AE1AD2" w:rsidRPr="00697B82" w:rsidTr="00356D92">
        <w:trPr>
          <w:trHeight w:val="106"/>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042</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14,98 zł</w:t>
            </w:r>
          </w:p>
        </w:tc>
      </w:tr>
      <w:tr w:rsidR="00AE1AD2" w:rsidRPr="00697B82" w:rsidTr="00356D92">
        <w:trPr>
          <w:trHeight w:val="65"/>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043</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48,72 zł</w:t>
            </w:r>
          </w:p>
        </w:tc>
      </w:tr>
      <w:tr w:rsidR="00AE1AD2" w:rsidRPr="00697B82" w:rsidTr="00356D92">
        <w:trPr>
          <w:trHeight w:val="153"/>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062</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1,81 zł</w:t>
            </w:r>
          </w:p>
        </w:tc>
      </w:tr>
      <w:tr w:rsidR="00AE1AD2" w:rsidRPr="00697B82" w:rsidTr="00356D92">
        <w:trPr>
          <w:trHeight w:val="100"/>
        </w:trPr>
        <w:tc>
          <w:tcPr>
            <w:tcW w:w="1297" w:type="dxa"/>
            <w:tcBorders>
              <w:top w:val="nil"/>
              <w:left w:val="single" w:sz="4" w:space="0" w:color="auto"/>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center"/>
              <w:rPr>
                <w:rFonts w:ascii="Arial" w:eastAsia="Times New Roman" w:hAnsi="Arial" w:cs="Arial"/>
                <w:sz w:val="16"/>
                <w:szCs w:val="16"/>
                <w:lang w:eastAsia="pl-PL"/>
              </w:rPr>
            </w:pPr>
            <w:r w:rsidRPr="00697B82">
              <w:rPr>
                <w:rFonts w:ascii="Arial" w:eastAsia="Times New Roman" w:hAnsi="Arial" w:cs="Arial"/>
                <w:sz w:val="16"/>
                <w:szCs w:val="16"/>
                <w:lang w:eastAsia="pl-PL"/>
              </w:rPr>
              <w:t>070</w:t>
            </w:r>
          </w:p>
        </w:tc>
        <w:tc>
          <w:tcPr>
            <w:tcW w:w="1060" w:type="dxa"/>
            <w:tcBorders>
              <w:top w:val="nil"/>
              <w:left w:val="nil"/>
              <w:bottom w:val="single" w:sz="4" w:space="0" w:color="auto"/>
              <w:right w:val="single" w:sz="4" w:space="0" w:color="auto"/>
            </w:tcBorders>
            <w:shd w:val="clear" w:color="auto" w:fill="auto"/>
            <w:noWrap/>
            <w:vAlign w:val="center"/>
            <w:hideMark/>
          </w:tcPr>
          <w:p w:rsidR="00AE1AD2" w:rsidRPr="00697B82" w:rsidRDefault="00AE1AD2" w:rsidP="00356D92">
            <w:pPr>
              <w:spacing w:after="0" w:line="240" w:lineRule="auto"/>
              <w:jc w:val="right"/>
              <w:rPr>
                <w:rFonts w:ascii="Arial" w:eastAsia="Times New Roman" w:hAnsi="Arial" w:cs="Arial"/>
                <w:sz w:val="16"/>
                <w:szCs w:val="16"/>
                <w:lang w:eastAsia="pl-PL"/>
              </w:rPr>
            </w:pPr>
            <w:r w:rsidRPr="00697B82">
              <w:rPr>
                <w:rFonts w:ascii="Arial" w:eastAsia="Times New Roman" w:hAnsi="Arial" w:cs="Arial"/>
                <w:sz w:val="16"/>
                <w:szCs w:val="16"/>
                <w:lang w:eastAsia="pl-PL"/>
              </w:rPr>
              <w:t>2,96 zł</w:t>
            </w:r>
          </w:p>
        </w:tc>
      </w:tr>
    </w:tbl>
    <w:p w:rsidR="00AE1AD2" w:rsidRDefault="00AE1AD2" w:rsidP="00AE1AD2"/>
    <w:p w:rsidR="00AE1AD2" w:rsidRDefault="00AE1AD2" w:rsidP="00AE1AD2"/>
    <w:p w:rsidR="00AE1AD2" w:rsidRDefault="00AE1AD2" w:rsidP="00AE1AD2"/>
    <w:p w:rsidR="00AE1AD2" w:rsidRPr="0013082C" w:rsidRDefault="00AE1AD2" w:rsidP="00AE1AD2">
      <w:pPr>
        <w:spacing w:after="0" w:line="240" w:lineRule="auto"/>
        <w:jc w:val="center"/>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AE1AD2" w:rsidRDefault="00AE1AD2" w:rsidP="0013082C">
      <w:pPr>
        <w:jc w:val="both"/>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Na dzień bilansowy środki trwałe (z wyjątkiem  gruntów, których się nie umarza) wycenia się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wartości netto, tj. z uwzględnieniem odpisów umorzeniowych ustalonych na dzień bilansowy.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Podstawowe środki trwałe finansuje się ze środków na inwestycje w rozumieniu ustawy                   o finansach publicznych i wydanego na jej podstawie rozporządzenia Ministra Finansów                       w sprawie szczegółowej klasyfikacji dochodów, wydatków, przychodów i rozchodów oraz środków pochodzących ze źródeł zagranicznych oraz o zasadach finansowania inwestycji</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budżetu państwa.</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i stawki amortyzacji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Środki trwałe umarzane są</w:t>
      </w:r>
      <w:r w:rsidRPr="0013082C">
        <w:rPr>
          <w:rFonts w:ascii="Times New Roman" w:hAnsi="Times New Roman" w:cs="Times New Roman"/>
          <w:sz w:val="24"/>
          <w:szCs w:val="24"/>
        </w:rPr>
        <w:t xml:space="preserve"> (z wyjątkiem gruntów) stopniowo na podstawie aktualnego planu amortyzacji według stawek amortyzacyjnych określonych </w:t>
      </w:r>
    </w:p>
    <w:p w:rsidR="0013082C" w:rsidRPr="0013082C" w:rsidRDefault="0013082C" w:rsidP="0013082C">
      <w:pPr>
        <w:numPr>
          <w:ilvl w:val="0"/>
          <w:numId w:val="6"/>
        </w:numPr>
        <w:spacing w:after="0" w:line="240" w:lineRule="auto"/>
        <w:jc w:val="both"/>
        <w:rPr>
          <w:rFonts w:ascii="Times New Roman" w:hAnsi="Times New Roman" w:cs="Times New Roman"/>
          <w:b/>
          <w:sz w:val="24"/>
          <w:szCs w:val="24"/>
        </w:rPr>
      </w:pPr>
      <w:r w:rsidRPr="0013082C">
        <w:rPr>
          <w:rFonts w:ascii="Times New Roman" w:hAnsi="Times New Roman" w:cs="Times New Roman"/>
          <w:b/>
          <w:sz w:val="24"/>
          <w:szCs w:val="24"/>
        </w:rPr>
        <w:t>w ustawie o podatku dochodowym od osób prawnych.</w:t>
      </w:r>
    </w:p>
    <w:p w:rsidR="0013082C" w:rsidRPr="0013082C" w:rsidRDefault="0013082C" w:rsidP="0013082C">
      <w:pPr>
        <w:ind w:left="720"/>
        <w:jc w:val="both"/>
        <w:rPr>
          <w:rFonts w:ascii="Times New Roman" w:hAnsi="Times New Roman" w:cs="Times New Roman"/>
          <w:b/>
          <w:sz w:val="24"/>
          <w:szCs w:val="24"/>
        </w:rPr>
      </w:pP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„Ustala się, że środki trwałe umarza się i amortyzuje, przy zastosowaniu maksymalnych stawek amortyzacyjnych określonych w przepisach o podatku dochodowym od osób prawnych.</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b/>
          <w:sz w:val="24"/>
          <w:szCs w:val="24"/>
        </w:rPr>
        <w:t>Odpisów umorzeniowych</w:t>
      </w:r>
      <w:r w:rsidRPr="0013082C">
        <w:rPr>
          <w:rFonts w:ascii="Times New Roman" w:hAnsi="Times New Roman" w:cs="Times New Roman"/>
          <w:sz w:val="24"/>
          <w:szCs w:val="24"/>
        </w:rPr>
        <w:t xml:space="preserve"> dokonuje się począwszy od:</w:t>
      </w:r>
    </w:p>
    <w:p w:rsidR="0013082C" w:rsidRPr="0013082C" w:rsidRDefault="0013082C" w:rsidP="0013082C">
      <w:pPr>
        <w:numPr>
          <w:ilvl w:val="0"/>
          <w:numId w:val="6"/>
        </w:numPr>
        <w:spacing w:after="0" w:line="240" w:lineRule="auto"/>
        <w:ind w:left="1077" w:hanging="357"/>
        <w:jc w:val="both"/>
        <w:rPr>
          <w:rFonts w:ascii="Times New Roman" w:hAnsi="Times New Roman" w:cs="Times New Roman"/>
          <w:b/>
          <w:sz w:val="24"/>
          <w:szCs w:val="24"/>
        </w:rPr>
      </w:pPr>
      <w:r w:rsidRPr="0013082C">
        <w:rPr>
          <w:rFonts w:ascii="Times New Roman" w:hAnsi="Times New Roman" w:cs="Times New Roman"/>
          <w:b/>
          <w:sz w:val="24"/>
          <w:szCs w:val="24"/>
        </w:rPr>
        <w:t>miesiąca następującego po miesiącu przyjęcia środka trwałego do używania.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Umorzenie</w:t>
      </w:r>
      <w:r w:rsidRPr="0013082C">
        <w:rPr>
          <w:rFonts w:ascii="Times New Roman" w:hAnsi="Times New Roman" w:cs="Times New Roman"/>
          <w:sz w:val="24"/>
          <w:szCs w:val="24"/>
        </w:rPr>
        <w:t xml:space="preserve"> ujmowane jest na koncie </w:t>
      </w:r>
      <w:r w:rsidRPr="0013082C">
        <w:rPr>
          <w:rFonts w:ascii="Times New Roman" w:hAnsi="Times New Roman" w:cs="Times New Roman"/>
          <w:b/>
          <w:sz w:val="24"/>
          <w:szCs w:val="24"/>
        </w:rPr>
        <w:t>071 „Umorzenie środków trwałych oraz wartości niematerialnych i prawnych”.</w:t>
      </w:r>
      <w:r w:rsidRPr="0013082C">
        <w:rPr>
          <w:rFonts w:ascii="Times New Roman" w:hAnsi="Times New Roman" w:cs="Times New Roman"/>
          <w:sz w:val="24"/>
          <w:szCs w:val="24"/>
        </w:rPr>
        <w:t xml:space="preserve"> Amortyzacja obciąża konto </w:t>
      </w:r>
      <w:r w:rsidRPr="0013082C">
        <w:rPr>
          <w:rFonts w:ascii="Times New Roman" w:hAnsi="Times New Roman" w:cs="Times New Roman"/>
          <w:b/>
          <w:sz w:val="24"/>
          <w:szCs w:val="24"/>
        </w:rPr>
        <w:t>400 „Amortyzacja” na koniec roku</w:t>
      </w:r>
      <w:r w:rsidRPr="0013082C">
        <w:rPr>
          <w:rFonts w:ascii="Times New Roman" w:hAnsi="Times New Roman" w:cs="Times New Roman"/>
          <w:sz w:val="24"/>
          <w:szCs w:val="24"/>
        </w:rPr>
        <w:t>.</w:t>
      </w:r>
    </w:p>
    <w:p w:rsidR="0013082C" w:rsidRPr="0013082C" w:rsidRDefault="0013082C" w:rsidP="0013082C">
      <w:pPr>
        <w:spacing w:line="360" w:lineRule="auto"/>
        <w:jc w:val="both"/>
        <w:rPr>
          <w:rFonts w:ascii="Times New Roman" w:hAnsi="Times New Roman" w:cs="Times New Roman"/>
          <w:sz w:val="24"/>
          <w:szCs w:val="24"/>
          <w:u w:val="single"/>
        </w:rPr>
      </w:pPr>
      <w:r w:rsidRPr="0013082C">
        <w:rPr>
          <w:rFonts w:ascii="Times New Roman" w:hAnsi="Times New Roman" w:cs="Times New Roman"/>
          <w:sz w:val="24"/>
          <w:szCs w:val="24"/>
          <w:u w:val="single"/>
        </w:rPr>
        <w:t xml:space="preserve">Rozpoczęcie amortyzacji  środków trwałych następuje od pierwszego miesiąca następującego po miesiącu, w którym środki trwałe przyjęto do używania, do końca miesiąca, w którym następuje zrównanie sumy odpisów amortyzacyjnych z wartością początkową lub w którym postawiono je </w:t>
      </w:r>
      <w:r w:rsidR="00AE1AD2">
        <w:rPr>
          <w:rFonts w:ascii="Times New Roman" w:hAnsi="Times New Roman" w:cs="Times New Roman"/>
          <w:sz w:val="24"/>
          <w:szCs w:val="24"/>
          <w:u w:val="single"/>
        </w:rPr>
        <w:t xml:space="preserve">                     </w:t>
      </w:r>
      <w:r w:rsidRPr="0013082C">
        <w:rPr>
          <w:rFonts w:ascii="Times New Roman" w:hAnsi="Times New Roman" w:cs="Times New Roman"/>
          <w:sz w:val="24"/>
          <w:szCs w:val="24"/>
          <w:u w:val="single"/>
        </w:rPr>
        <w:t>w stan likwidacji, zbyto lub stwierdzono niedobór.</w:t>
      </w:r>
    </w:p>
    <w:p w:rsidR="0013082C" w:rsidRPr="0013082C" w:rsidRDefault="0013082C" w:rsidP="0013082C">
      <w:pPr>
        <w:spacing w:line="360" w:lineRule="auto"/>
        <w:jc w:val="both"/>
        <w:rPr>
          <w:rFonts w:ascii="Times New Roman" w:hAnsi="Times New Roman" w:cs="Times New Roman"/>
          <w:b/>
          <w:sz w:val="24"/>
          <w:szCs w:val="24"/>
          <w:u w:val="single"/>
        </w:rPr>
      </w:pPr>
      <w:r w:rsidRPr="0013082C">
        <w:rPr>
          <w:rFonts w:ascii="Times New Roman" w:hAnsi="Times New Roman" w:cs="Times New Roman"/>
          <w:b/>
          <w:sz w:val="24"/>
          <w:szCs w:val="24"/>
          <w:u w:val="single"/>
        </w:rPr>
        <w:t>W jednostce przyjęto metodę liniową dla wszystkich środków trwałych.</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Dla żadnych środków trwałych nie dokonuje się odpisów z tytułu trwałej utraty wartości.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Ustawa o rachunkowości przewiduje możliwość zwiększenia wartości początkowej środka trwałego jedynie w dwóch przypadkach:</w:t>
      </w:r>
    </w:p>
    <w:p w:rsidR="0013082C" w:rsidRPr="0013082C" w:rsidRDefault="0013082C" w:rsidP="0013082C">
      <w:pPr>
        <w:numPr>
          <w:ilvl w:val="0"/>
          <w:numId w:val="6"/>
        </w:numPr>
        <w:spacing w:after="0" w:line="240" w:lineRule="auto"/>
        <w:ind w:left="1077" w:hanging="357"/>
        <w:jc w:val="both"/>
        <w:rPr>
          <w:rFonts w:ascii="Times New Roman" w:hAnsi="Times New Roman" w:cs="Times New Roman"/>
          <w:sz w:val="24"/>
          <w:szCs w:val="24"/>
        </w:rPr>
      </w:pPr>
      <w:r w:rsidRPr="0013082C">
        <w:rPr>
          <w:rFonts w:ascii="Times New Roman" w:hAnsi="Times New Roman" w:cs="Times New Roman"/>
          <w:b/>
          <w:sz w:val="24"/>
          <w:szCs w:val="24"/>
        </w:rPr>
        <w:t xml:space="preserve">w wyniku aktualizacji przeprowadzonej </w:t>
      </w:r>
      <w:r w:rsidRPr="0013082C">
        <w:rPr>
          <w:rFonts w:ascii="Times New Roman" w:hAnsi="Times New Roman" w:cs="Times New Roman"/>
          <w:sz w:val="24"/>
          <w:szCs w:val="24"/>
        </w:rPr>
        <w:t xml:space="preserve">wyłącznie na podstawie odrębnych przepisów, </w:t>
      </w:r>
    </w:p>
    <w:p w:rsidR="0013082C" w:rsidRPr="0013082C" w:rsidRDefault="0013082C" w:rsidP="0013082C">
      <w:pPr>
        <w:numPr>
          <w:ilvl w:val="0"/>
          <w:numId w:val="6"/>
        </w:numPr>
        <w:spacing w:after="0" w:line="240" w:lineRule="auto"/>
        <w:ind w:left="1077" w:hanging="357"/>
        <w:jc w:val="both"/>
        <w:rPr>
          <w:rFonts w:ascii="Times New Roman" w:hAnsi="Times New Roman" w:cs="Times New Roman"/>
          <w:sz w:val="24"/>
          <w:szCs w:val="24"/>
        </w:rPr>
      </w:pPr>
      <w:r w:rsidRPr="0013082C">
        <w:rPr>
          <w:rFonts w:ascii="Times New Roman" w:hAnsi="Times New Roman" w:cs="Times New Roman"/>
          <w:b/>
          <w:sz w:val="24"/>
          <w:szCs w:val="24"/>
        </w:rPr>
        <w:t xml:space="preserve">w wyniku ulepszenia polegającego na przebudowie, rozbudowie, rekonstrukcji, adaptacji lub modernizacji. </w:t>
      </w:r>
      <w:r w:rsidRPr="0013082C">
        <w:rPr>
          <w:rFonts w:ascii="Times New Roman" w:hAnsi="Times New Roman" w:cs="Times New Roman"/>
          <w:sz w:val="24"/>
          <w:szCs w:val="24"/>
        </w:rPr>
        <w:t>Wówczas wartość początkową tych środków powiększa się o sumę wydatków na ich ulepszenie, w tym także</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o wydatki na nabycie części składowych lub preferencyjnych, których jednostkowa  cena nabycia przekracza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10 000 zł. Środki trwałe uważa się za ulepszone, gdy suma wydatków poniesiona na ich przebudowę rozbudowę, rekonstrukcję, adaptację lub modernizację w danym roku podatkowym przekracza 10 000 zł i wydatki te powodują wzrost wartości użytkowej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stosunku do wartości z dnia przyjęcia środków trwałych do używania, mierzonej                                 w szczególności okresem używania, zdolnością wytwórczą, jakością produktów uzyskiwanych za pomocą ulepszonych środków trwałych i kosztami eksploatacji.</w:t>
      </w:r>
    </w:p>
    <w:p w:rsidR="0013082C" w:rsidRPr="0013082C" w:rsidRDefault="0013082C" w:rsidP="0013082C">
      <w:pPr>
        <w:ind w:left="720"/>
        <w:jc w:val="both"/>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Część składowa</w:t>
      </w:r>
      <w:r w:rsidRPr="0013082C">
        <w:rPr>
          <w:rFonts w:ascii="Times New Roman" w:hAnsi="Times New Roman" w:cs="Times New Roman"/>
          <w:sz w:val="24"/>
          <w:szCs w:val="24"/>
        </w:rPr>
        <w:t xml:space="preserve"> rzeczy nie stanowi odrębnego przedmiotu własności, a jednocześnie nie można odłączyć części od rzeczy bez jej uszkodzenia lub istotnej zmiany całości lub części odłączonej. Natomiast przedmiotów połączonych z rzeczą nie uznaje się za jej części składowe.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Część preferencyjna </w:t>
      </w:r>
      <w:r w:rsidRPr="0013082C">
        <w:rPr>
          <w:rFonts w:ascii="Times New Roman" w:hAnsi="Times New Roman" w:cs="Times New Roman"/>
          <w:sz w:val="24"/>
          <w:szCs w:val="24"/>
        </w:rPr>
        <w:t>to każda rzecz ruchoma, która jest niezbędna przy korzystaniu z rzeczy głównej (np. skaner, drukarka) i rzecz główna należy do właściciela (w innym przypadku wydatki związane z częścią preferencyjną  stanowiłyby inwestycję w obcym środku trwałym).</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1) Przebudowa</w:t>
      </w:r>
      <w:r w:rsidRPr="0013082C">
        <w:rPr>
          <w:rFonts w:ascii="Times New Roman" w:hAnsi="Times New Roman" w:cs="Times New Roman"/>
          <w:sz w:val="24"/>
          <w:szCs w:val="24"/>
        </w:rPr>
        <w:t xml:space="preserve"> – jest to zmiana (poprawienie) istniejącego stanu środka trwałego na inny (np. zmiana funkcji, jego przeznaczenia).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2) Rozbudowa</w:t>
      </w:r>
      <w:r w:rsidRPr="0013082C">
        <w:rPr>
          <w:rFonts w:ascii="Times New Roman" w:hAnsi="Times New Roman" w:cs="Times New Roman"/>
          <w:sz w:val="24"/>
          <w:szCs w:val="24"/>
        </w:rPr>
        <w:t xml:space="preserve"> – jest to powiększenie środka trwałego (np. w przypadku budynku lub budowli zwiększenie jego powierzchni całkowitej i użytkowej oraz kubatury; zespołu komputerowego poprzez dokupienie drukarki, skanera i innych urządzeń preferencyjnych czy części składowych).</w:t>
      </w:r>
    </w:p>
    <w:p w:rsidR="0013082C" w:rsidRPr="0013082C" w:rsidRDefault="0013082C" w:rsidP="0013082C">
      <w:pPr>
        <w:spacing w:line="360" w:lineRule="auto"/>
        <w:jc w:val="both"/>
        <w:rPr>
          <w:rFonts w:ascii="Times New Roman" w:hAnsi="Times New Roman" w:cs="Times New Roman"/>
          <w:sz w:val="24"/>
          <w:szCs w:val="24"/>
          <w:u w:val="single"/>
        </w:rPr>
      </w:pPr>
      <w:r w:rsidRPr="0013082C">
        <w:rPr>
          <w:rFonts w:ascii="Times New Roman" w:hAnsi="Times New Roman" w:cs="Times New Roman"/>
          <w:b/>
          <w:sz w:val="24"/>
          <w:szCs w:val="24"/>
          <w:u w:val="single"/>
        </w:rPr>
        <w:t>Uwaga: jeżeli nastąpi wymiana w zespole komputerowym  istniejącej drukarki z uwagi na awarię na nową  lub innych istniejących już w zespole części czy elementów wówczas  TRAKTUJE SIĘ TĘ WYMIANĘ JAKO REMONT ISTNIEJĄCEGO ŚRODKA TRWAŁEGO,</w:t>
      </w:r>
      <w:r w:rsidRPr="0013082C">
        <w:rPr>
          <w:rFonts w:ascii="Times New Roman" w:hAnsi="Times New Roman" w:cs="Times New Roman"/>
          <w:sz w:val="24"/>
          <w:szCs w:val="24"/>
          <w:u w:val="single"/>
        </w:rPr>
        <w:t xml:space="preserve"> a poniesione w związku z tym wydatki zaliczane są do bieżących kosztów działalności – konta zespołu „4”.</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3) Modernizacja</w:t>
      </w:r>
      <w:r w:rsidRPr="0013082C">
        <w:rPr>
          <w:rFonts w:ascii="Times New Roman" w:hAnsi="Times New Roman" w:cs="Times New Roman"/>
          <w:sz w:val="24"/>
          <w:szCs w:val="24"/>
        </w:rPr>
        <w:t xml:space="preserve"> – jest to unowocześnienie (np. wprowadzenie i zastosowanie w posiadanym środku trwałym nowych rozwiązań technicznych np. takich jak wymiana  twardego dysku na dysk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o większej pojemności), poprawa stanu technicznego lub też zmiany przeznaczenia, zaś skutkiem tych działań jest zwiększenie wartości środka trwałego.</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Ulepszenie środka trwałego nie powoduje ponownego rozpoczęcia jego amortyzacji. Ulepszony składnik majątku amortyzowany jest tą samą metodą, którą amortyzowany był przed ulepszeniem, tyle ze od większej wartości. Odpisów amortyzacyjnych od zwiększonej wartości dokonuje się, począwszy od pierwszego miesiąca następującego po miesiącu,</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którym środek trwały został ulepszony.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4) Rekonstrukcja</w:t>
      </w:r>
      <w:r w:rsidRPr="0013082C">
        <w:rPr>
          <w:rFonts w:ascii="Times New Roman" w:hAnsi="Times New Roman" w:cs="Times New Roman"/>
          <w:sz w:val="24"/>
          <w:szCs w:val="24"/>
        </w:rPr>
        <w:t xml:space="preserve"> – jest to odtworzenie (odbudowa, odtworzenie) środka trwałego w całości lub częściowo jego zużytych zasadniczych elementów.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5) Adaptacja</w:t>
      </w:r>
      <w:r w:rsidRPr="0013082C">
        <w:rPr>
          <w:rFonts w:ascii="Times New Roman" w:hAnsi="Times New Roman" w:cs="Times New Roman"/>
          <w:sz w:val="24"/>
          <w:szCs w:val="24"/>
        </w:rPr>
        <w:t xml:space="preserve"> – jest to przystosowanie (przerobienie) środka trwałego do wykorzystania </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go</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w innym celu niż było jego pierwotne przeznaczenie bądź nadanie mu nowych walorów użytkowych.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W przypadku gdy środek trwały (jeden z jego elementów) uległ zniszczeniu i zastąpiono go nowym,</w:t>
      </w:r>
      <w:r w:rsidRPr="0013082C">
        <w:rPr>
          <w:rFonts w:ascii="Times New Roman" w:hAnsi="Times New Roman" w:cs="Times New Roman"/>
          <w:sz w:val="24"/>
          <w:szCs w:val="24"/>
        </w:rPr>
        <w:t xml:space="preserve"> tzn., że przywrócono jedynie stan poprzedni, a wydatki związane z zakupem sfinansowano z bieżącej działalności, sytuację tę traktuje się jako zakup materiałów remontowych, a poniesione </w:t>
      </w:r>
      <w:r w:rsidR="00D50685">
        <w:rPr>
          <w:rFonts w:ascii="Times New Roman" w:hAnsi="Times New Roman" w:cs="Times New Roman"/>
          <w:sz w:val="24"/>
          <w:szCs w:val="24"/>
        </w:rPr>
        <w:t xml:space="preserve">  </w:t>
      </w:r>
      <w:r w:rsidRPr="0013082C">
        <w:rPr>
          <w:rFonts w:ascii="Times New Roman" w:hAnsi="Times New Roman" w:cs="Times New Roman"/>
          <w:sz w:val="24"/>
          <w:szCs w:val="24"/>
        </w:rPr>
        <w:t>w związku z tym wydatki zalicza się do bieżących kosztów  działalności.</w:t>
      </w:r>
    </w:p>
    <w:p w:rsidR="0013082C" w:rsidRPr="0013082C" w:rsidRDefault="0013082C" w:rsidP="0013082C">
      <w:pPr>
        <w:spacing w:line="360" w:lineRule="auto"/>
        <w:ind w:left="360"/>
        <w:jc w:val="center"/>
        <w:rPr>
          <w:rFonts w:ascii="Times New Roman" w:hAnsi="Times New Roman" w:cs="Times New Roman"/>
          <w:b/>
          <w:sz w:val="24"/>
          <w:szCs w:val="24"/>
        </w:rPr>
      </w:pPr>
    </w:p>
    <w:p w:rsidR="0013082C" w:rsidRPr="0013082C" w:rsidRDefault="0013082C" w:rsidP="0013082C">
      <w:pPr>
        <w:spacing w:line="360" w:lineRule="auto"/>
        <w:ind w:left="360"/>
        <w:jc w:val="center"/>
        <w:rPr>
          <w:rFonts w:ascii="Times New Roman" w:hAnsi="Times New Roman" w:cs="Times New Roman"/>
          <w:b/>
          <w:sz w:val="24"/>
          <w:szCs w:val="24"/>
        </w:rPr>
      </w:pPr>
      <w:r w:rsidRPr="0013082C">
        <w:rPr>
          <w:rFonts w:ascii="Times New Roman" w:hAnsi="Times New Roman" w:cs="Times New Roman"/>
          <w:b/>
          <w:sz w:val="24"/>
          <w:szCs w:val="24"/>
        </w:rPr>
        <w:t>Aktualizacja wyceny środków trwałych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Aktualizacji wartości początkowej i dotychczasowego umorzenia</w:t>
      </w:r>
      <w:r w:rsidRPr="0013082C">
        <w:rPr>
          <w:rFonts w:ascii="Times New Roman" w:hAnsi="Times New Roman" w:cs="Times New Roman"/>
          <w:sz w:val="24"/>
          <w:szCs w:val="24"/>
        </w:rPr>
        <w:t xml:space="preserve"> dokonuje się  wyłącznie na podstawie odrębnych przepisów. Aktualizacja polega na przeliczeniu wartości początkowej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i dotychczasowego umorzenia poszczególnych środków trwałych za pomocą wskaźników przeliczeniowych, które uwzględniają relację poziomu cen środków trwałych przyjętych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za podstawę wskaźnika ceny w ewidencji księgowej. Wyniki takiej aktualizacji odnosi się na fundusz jednostki w zakresie aktywów trwałych.</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Na potrzeby wyceny bilansowej </w:t>
      </w:r>
      <w:r w:rsidRPr="0013082C">
        <w:rPr>
          <w:rFonts w:ascii="Times New Roman" w:hAnsi="Times New Roman" w:cs="Times New Roman"/>
          <w:b/>
          <w:sz w:val="24"/>
          <w:szCs w:val="24"/>
        </w:rPr>
        <w:t>wartość gruntów nie podlega aktualizacji.</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Klasyfikacja środków trwałych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Podstawę klasyfikacji środków trwałych jednostki do celów ewidencji, ustalania odpisów amortyzacyjnych</w:t>
      </w:r>
      <w:r w:rsidRPr="0013082C">
        <w:rPr>
          <w:rFonts w:ascii="Times New Roman" w:hAnsi="Times New Roman" w:cs="Times New Roman"/>
          <w:b/>
          <w:sz w:val="24"/>
          <w:szCs w:val="24"/>
        </w:rPr>
        <w:t xml:space="preserve"> </w:t>
      </w:r>
      <w:r w:rsidRPr="0013082C">
        <w:rPr>
          <w:rFonts w:ascii="Times New Roman" w:hAnsi="Times New Roman" w:cs="Times New Roman"/>
          <w:sz w:val="24"/>
          <w:szCs w:val="24"/>
        </w:rPr>
        <w:t>i</w:t>
      </w:r>
      <w:r w:rsidRPr="0013082C">
        <w:rPr>
          <w:rFonts w:ascii="Times New Roman" w:hAnsi="Times New Roman" w:cs="Times New Roman"/>
          <w:b/>
          <w:sz w:val="24"/>
          <w:szCs w:val="24"/>
        </w:rPr>
        <w:t xml:space="preserve"> </w:t>
      </w:r>
      <w:r w:rsidRPr="0013082C">
        <w:rPr>
          <w:rFonts w:ascii="Times New Roman" w:hAnsi="Times New Roman" w:cs="Times New Roman"/>
          <w:sz w:val="24"/>
          <w:szCs w:val="24"/>
        </w:rPr>
        <w:t>sprawozdawczości stanowi Rozporządzenie Rady Ministrów  w sprawie Klasyfikacji Środków Trwałych (KŚT) zawierające szczegółowe opisy ułatwiające zaklasyfikowanie poszczególnych składników majątku trwałego.</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Zgodnie z KŚT jednostka klasyfikuje przyjmowane do użytku środki trwałe, nadając im</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3-cyfrowe symbole, w których 1 cyfra oznacza grupę, 2 cyfry podgrupę, 3 cyfry – rodzaj.</w:t>
      </w:r>
    </w:p>
    <w:p w:rsidR="0013082C" w:rsidRPr="0013082C" w:rsidRDefault="0013082C" w:rsidP="0013082C">
      <w:pPr>
        <w:spacing w:line="360" w:lineRule="auto"/>
        <w:rPr>
          <w:rFonts w:ascii="Times New Roman" w:hAnsi="Times New Roman" w:cs="Times New Roman"/>
          <w:b/>
          <w:sz w:val="24"/>
          <w:szCs w:val="24"/>
        </w:rPr>
      </w:pPr>
      <w:r w:rsidRPr="0013082C">
        <w:rPr>
          <w:rFonts w:ascii="Times New Roman" w:hAnsi="Times New Roman" w:cs="Times New Roman"/>
          <w:b/>
          <w:sz w:val="24"/>
          <w:szCs w:val="24"/>
        </w:rPr>
        <w:t>Środki trwałe jednostce według KŚT są klasyfikowane w grupach:</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0 – grunty,</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1 – budynki,</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2 – obiekty inżynierii lądowej i wodnej,</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3 – kotły i maszyny energetyczne,</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4 – maszyny, urządzenia i aparaty ogólnego zastosowania,</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6 – urządzenia techniczne,</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7 – Środki transportu,</w:t>
      </w:r>
    </w:p>
    <w:p w:rsidR="0013082C" w:rsidRPr="0013082C" w:rsidRDefault="0013082C" w:rsidP="0013082C">
      <w:pPr>
        <w:spacing w:line="360" w:lineRule="auto"/>
        <w:rPr>
          <w:rFonts w:ascii="Times New Roman" w:hAnsi="Times New Roman" w:cs="Times New Roman"/>
          <w:sz w:val="24"/>
          <w:szCs w:val="24"/>
        </w:rPr>
      </w:pPr>
      <w:r w:rsidRPr="0013082C">
        <w:rPr>
          <w:rFonts w:ascii="Times New Roman" w:hAnsi="Times New Roman" w:cs="Times New Roman"/>
          <w:sz w:val="24"/>
          <w:szCs w:val="24"/>
        </w:rPr>
        <w:t>8 – narzędzia, przyrządy, ruchomości i wyposażenie.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2.2. Pozostałe środki trwałe </w:t>
      </w:r>
      <w:r w:rsidRPr="0013082C">
        <w:rPr>
          <w:rFonts w:ascii="Times New Roman" w:hAnsi="Times New Roman" w:cs="Times New Roman"/>
          <w:sz w:val="24"/>
          <w:szCs w:val="24"/>
        </w:rPr>
        <w:t xml:space="preserve"> to środki trwałe, do których zalicza się niepodlegające ujęciu na koncie 011 pozostałe środki trwałe wydane do używania na potrzeby działalności jednostki, które podlegają umorzeniu w pełnej wysokości (100%) w miesiącu wydania do używania i są to:</w:t>
      </w:r>
    </w:p>
    <w:p w:rsidR="0013082C" w:rsidRPr="0013082C" w:rsidRDefault="0013082C" w:rsidP="0013082C">
      <w:pPr>
        <w:numPr>
          <w:ilvl w:val="0"/>
          <w:numId w:val="7"/>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odzież i umundurowanie ( o okresie używania dłuższym niż rok),</w:t>
      </w:r>
    </w:p>
    <w:p w:rsidR="0013082C" w:rsidRPr="0013082C" w:rsidRDefault="0013082C" w:rsidP="0013082C">
      <w:pPr>
        <w:numPr>
          <w:ilvl w:val="0"/>
          <w:numId w:val="7"/>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meble i dywany,</w:t>
      </w:r>
    </w:p>
    <w:p w:rsidR="0013082C" w:rsidRPr="0013082C" w:rsidRDefault="0013082C" w:rsidP="0013082C">
      <w:pPr>
        <w:numPr>
          <w:ilvl w:val="0"/>
          <w:numId w:val="7"/>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inwentarz żywy,</w:t>
      </w:r>
    </w:p>
    <w:p w:rsidR="0013082C" w:rsidRPr="0013082C" w:rsidRDefault="0013082C" w:rsidP="0013082C">
      <w:pPr>
        <w:numPr>
          <w:ilvl w:val="0"/>
          <w:numId w:val="7"/>
        </w:numPr>
        <w:spacing w:after="0" w:line="240" w:lineRule="auto"/>
        <w:ind w:left="714" w:hanging="357"/>
        <w:jc w:val="both"/>
        <w:rPr>
          <w:rFonts w:ascii="Times New Roman" w:hAnsi="Times New Roman" w:cs="Times New Roman"/>
          <w:sz w:val="24"/>
          <w:szCs w:val="24"/>
        </w:rPr>
      </w:pPr>
      <w:r w:rsidRPr="0013082C">
        <w:rPr>
          <w:rFonts w:ascii="Times New Roman" w:hAnsi="Times New Roman" w:cs="Times New Roman"/>
          <w:sz w:val="24"/>
          <w:szCs w:val="24"/>
        </w:rPr>
        <w:t>wszelkie środki trwałe, dla których odpisy amortyzacyjne są uznawane za koszty uzyskania przychodu w 100% ich wartości w momencie oddania do używania – aktualnie do 10 000 zł.</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Składniki majątkowe zaliczane do „pozostałych środków trwałych”, których wartość jest niższa niż 500 zł, a były ujęte w ewidencji ilościowo-wartościowej (konto 013) ze względu na znaczącą wartość w danym okresie pozostaną nadal w tej ewidencji do momentu likwidacji.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Pozostałe środki trwałe finansuje się ze środków na bieżące wydatki  z wyjątkiem pierwszego wyposażenia nowego obiektu, które tak jak ten obiekt finansowane są ze środków na inwestycje.</w:t>
      </w:r>
    </w:p>
    <w:p w:rsidR="0013082C" w:rsidRPr="0013082C" w:rsidRDefault="0013082C" w:rsidP="00220251">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Ustala się następujące zasady ewidencji analitycznej pozostałych środków trwałych:</w:t>
      </w:r>
    </w:p>
    <w:p w:rsidR="0013082C" w:rsidRPr="0013082C" w:rsidRDefault="0013082C" w:rsidP="0013082C">
      <w:pPr>
        <w:numPr>
          <w:ilvl w:val="0"/>
          <w:numId w:val="8"/>
        </w:numPr>
        <w:spacing w:after="0" w:line="240" w:lineRule="auto"/>
        <w:ind w:left="714" w:hanging="357"/>
        <w:jc w:val="both"/>
        <w:rPr>
          <w:rFonts w:ascii="Times New Roman" w:hAnsi="Times New Roman" w:cs="Times New Roman"/>
          <w:b/>
          <w:sz w:val="24"/>
          <w:szCs w:val="24"/>
        </w:rPr>
      </w:pPr>
      <w:r w:rsidRPr="0013082C">
        <w:rPr>
          <w:rFonts w:ascii="Times New Roman" w:hAnsi="Times New Roman" w:cs="Times New Roman"/>
          <w:b/>
          <w:sz w:val="24"/>
          <w:szCs w:val="24"/>
        </w:rPr>
        <w:t>ewidencji ilościowo wartościowej podlegają rzeczowe składniki majątkowe długotrwałego użytku (powyżej 1 roku) i dolnej wartości początkowej 500 zł</w:t>
      </w:r>
      <w:r w:rsidRPr="0013082C">
        <w:rPr>
          <w:rFonts w:ascii="Times New Roman" w:hAnsi="Times New Roman" w:cs="Times New Roman"/>
          <w:sz w:val="24"/>
          <w:szCs w:val="24"/>
        </w:rPr>
        <w:t xml:space="preserve">. Ewidencji tej podlegają meble bez względu na ich wartość początkową. Ujmuje się je na koncie </w:t>
      </w:r>
      <w:r w:rsidRPr="0013082C">
        <w:rPr>
          <w:rFonts w:ascii="Times New Roman" w:hAnsi="Times New Roman" w:cs="Times New Roman"/>
          <w:b/>
          <w:sz w:val="24"/>
          <w:szCs w:val="24"/>
        </w:rPr>
        <w:t>013 „Pozostałe środki trwałe w używaniu”</w:t>
      </w:r>
      <w:r w:rsidRPr="0013082C">
        <w:rPr>
          <w:rFonts w:ascii="Times New Roman" w:hAnsi="Times New Roman" w:cs="Times New Roman"/>
          <w:sz w:val="24"/>
          <w:szCs w:val="24"/>
        </w:rPr>
        <w:t xml:space="preserve"> i umarza się je w </w:t>
      </w:r>
      <w:r w:rsidRPr="0013082C">
        <w:rPr>
          <w:rFonts w:ascii="Times New Roman" w:hAnsi="Times New Roman" w:cs="Times New Roman"/>
          <w:b/>
          <w:sz w:val="24"/>
          <w:szCs w:val="24"/>
        </w:rPr>
        <w:t>100%</w:t>
      </w:r>
      <w:r w:rsidR="00220251">
        <w:rPr>
          <w:rFonts w:ascii="Times New Roman" w:hAnsi="Times New Roman" w:cs="Times New Roman"/>
          <w:b/>
          <w:sz w:val="24"/>
          <w:szCs w:val="24"/>
        </w:rPr>
        <w:t xml:space="preserve"> </w:t>
      </w:r>
      <w:r w:rsidRPr="0013082C">
        <w:rPr>
          <w:rFonts w:ascii="Times New Roman" w:hAnsi="Times New Roman" w:cs="Times New Roman"/>
          <w:sz w:val="24"/>
          <w:szCs w:val="24"/>
        </w:rPr>
        <w:t xml:space="preserve">w miesiącu przyjęcia do używania, a umorzenie to ujmowane  jest  na koncie </w:t>
      </w:r>
      <w:r w:rsidRPr="0013082C">
        <w:rPr>
          <w:rFonts w:ascii="Times New Roman" w:hAnsi="Times New Roman" w:cs="Times New Roman"/>
          <w:b/>
          <w:sz w:val="24"/>
          <w:szCs w:val="24"/>
        </w:rPr>
        <w:t>072 „Umorzenie pozostałych środków trwałych oraz wartości niematerialnych</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 xml:space="preserve">i prawnych” </w:t>
      </w:r>
      <w:r w:rsidRPr="0013082C">
        <w:rPr>
          <w:rFonts w:ascii="Times New Roman" w:hAnsi="Times New Roman" w:cs="Times New Roman"/>
          <w:sz w:val="24"/>
          <w:szCs w:val="24"/>
        </w:rPr>
        <w:t xml:space="preserve">w korespondencji </w:t>
      </w:r>
      <w:r w:rsidR="00AE1AD2">
        <w:rPr>
          <w:rFonts w:ascii="Times New Roman" w:hAnsi="Times New Roman" w:cs="Times New Roman"/>
          <w:sz w:val="24"/>
          <w:szCs w:val="24"/>
        </w:rPr>
        <w:t xml:space="preserve">                           </w:t>
      </w:r>
      <w:r w:rsidRPr="0013082C">
        <w:rPr>
          <w:rFonts w:ascii="Times New Roman" w:hAnsi="Times New Roman" w:cs="Times New Roman"/>
          <w:sz w:val="24"/>
          <w:szCs w:val="24"/>
        </w:rPr>
        <w:t>z kontami zespołu „4”.</w:t>
      </w:r>
    </w:p>
    <w:p w:rsidR="0013082C" w:rsidRPr="0013082C" w:rsidRDefault="0013082C" w:rsidP="0013082C">
      <w:pPr>
        <w:ind w:left="357"/>
        <w:jc w:val="both"/>
        <w:rPr>
          <w:rFonts w:ascii="Times New Roman" w:hAnsi="Times New Roman" w:cs="Times New Roman"/>
          <w:b/>
          <w:sz w:val="24"/>
          <w:szCs w:val="24"/>
        </w:rPr>
      </w:pPr>
    </w:p>
    <w:p w:rsidR="0013082C" w:rsidRPr="0013082C" w:rsidRDefault="0013082C" w:rsidP="0013082C">
      <w:pPr>
        <w:numPr>
          <w:ilvl w:val="0"/>
          <w:numId w:val="8"/>
        </w:numPr>
        <w:spacing w:after="0" w:line="240" w:lineRule="auto"/>
        <w:ind w:left="714" w:hanging="357"/>
        <w:jc w:val="both"/>
        <w:rPr>
          <w:rFonts w:ascii="Times New Roman" w:hAnsi="Times New Roman" w:cs="Times New Roman"/>
          <w:b/>
          <w:sz w:val="24"/>
          <w:szCs w:val="24"/>
        </w:rPr>
      </w:pPr>
      <w:r w:rsidRPr="0013082C">
        <w:rPr>
          <w:rFonts w:ascii="Times New Roman" w:hAnsi="Times New Roman" w:cs="Times New Roman"/>
          <w:b/>
          <w:sz w:val="24"/>
          <w:szCs w:val="24"/>
        </w:rPr>
        <w:t>pozabilansowej ewidencji ilościowej</w:t>
      </w:r>
      <w:r w:rsidRPr="0013082C">
        <w:rPr>
          <w:rFonts w:ascii="Times New Roman" w:hAnsi="Times New Roman" w:cs="Times New Roman"/>
          <w:sz w:val="24"/>
          <w:szCs w:val="24"/>
        </w:rPr>
        <w:t xml:space="preserve"> podlegają rzeczowe składniki majątkowe (pozostałe środki trwałe), których wartość nie przekracza 500 zł i przewidywanym okresie użytkowania powyżej 1 roku oraz których nie można ponumerować ze względów technicznych. Bez względu na wartość początkową pozabilansowej ewidencji ilościowej podlegają również krzesła. Tę grupę pozostałych środków trwałych traktuje się jako majątek o niskiej wartości ale o istotnym znaczeniu i poddaje się kontroli prowadzonej  przez cały rok w sposób ciągły sprawowanej przez inspektora ds. obsługi kasy, do którego obowiązków przypisano ewidencję ilościową</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i ilościowo-wartościową pozostałych środków trwałych. Ujmuje się je spisując w koszty pod datą zakupu. Osoba otrzymująca dany przedmiot osobiście kwituje jego odbiór. Natomiast odzież robocza i umundurowanie, przekazywane są pracownikom za potwierdzeniem odbioru na kartotekach. </w:t>
      </w:r>
    </w:p>
    <w:p w:rsidR="00220251" w:rsidRDefault="00220251" w:rsidP="00220251">
      <w:pPr>
        <w:ind w:left="714"/>
        <w:jc w:val="both"/>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Szczegółowy wykaz tych środków trwałych został przedstawiony w załączniku nr 1 do niniejszego dokumentu.</w:t>
      </w:r>
    </w:p>
    <w:p w:rsidR="0013082C" w:rsidRPr="0013082C" w:rsidRDefault="0013082C" w:rsidP="0013082C">
      <w:pPr>
        <w:numPr>
          <w:ilvl w:val="0"/>
          <w:numId w:val="8"/>
        </w:numPr>
        <w:spacing w:after="0" w:line="240" w:lineRule="auto"/>
        <w:ind w:left="714" w:hanging="357"/>
        <w:jc w:val="both"/>
        <w:rPr>
          <w:rFonts w:ascii="Times New Roman" w:hAnsi="Times New Roman" w:cs="Times New Roman"/>
          <w:b/>
          <w:sz w:val="24"/>
          <w:szCs w:val="24"/>
        </w:rPr>
      </w:pPr>
      <w:r w:rsidRPr="0013082C">
        <w:rPr>
          <w:rFonts w:ascii="Times New Roman" w:hAnsi="Times New Roman" w:cs="Times New Roman"/>
          <w:sz w:val="24"/>
          <w:szCs w:val="24"/>
        </w:rPr>
        <w:t xml:space="preserve"> Pozostałe składniki majątkowe (wyposażenie - drobne przedmioty) nie ujęte                        w wykazie załącznika nr 1, których wartość nie przekracza 500 zł, a przewidywany okres ekonomicznej użyteczności wynosi do 12 miesięcy traktowane są jako składniki majątku obrotowego – materiały i uznawane są za zużyte w dniu pobrania do używania: wartość początkowa podlega odpisaniu w ciężar kosztów i nie podlega ujęciu w ewidencji ilościowo – wartościowej oraz ilościowej – załącznik nr 2 do dokumentu.</w:t>
      </w:r>
    </w:p>
    <w:p w:rsidR="0013082C" w:rsidRPr="0013082C" w:rsidRDefault="0013082C" w:rsidP="0013082C">
      <w:pPr>
        <w:spacing w:line="360" w:lineRule="auto"/>
        <w:jc w:val="both"/>
        <w:rPr>
          <w:rFonts w:ascii="Times New Roman" w:hAnsi="Times New Roman" w:cs="Times New Roman"/>
          <w:sz w:val="24"/>
          <w:szCs w:val="24"/>
        </w:rPr>
      </w:pPr>
    </w:p>
    <w:p w:rsidR="00D50685" w:rsidRDefault="00D50685" w:rsidP="0013082C">
      <w:pPr>
        <w:spacing w:line="360" w:lineRule="auto"/>
        <w:jc w:val="center"/>
        <w:rPr>
          <w:rFonts w:ascii="Times New Roman" w:hAnsi="Times New Roman" w:cs="Times New Roman"/>
          <w:b/>
          <w:sz w:val="24"/>
          <w:szCs w:val="24"/>
        </w:rPr>
      </w:pPr>
    </w:p>
    <w:p w:rsidR="00D50685" w:rsidRDefault="00D50685" w:rsidP="0013082C">
      <w:pPr>
        <w:spacing w:line="360" w:lineRule="auto"/>
        <w:jc w:val="center"/>
        <w:rPr>
          <w:rFonts w:ascii="Times New Roman" w:hAnsi="Times New Roman" w:cs="Times New Roman"/>
          <w:b/>
          <w:sz w:val="24"/>
          <w:szCs w:val="24"/>
        </w:rPr>
      </w:pP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wyceny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Pozostałe środki trwałe</w:t>
      </w:r>
      <w:r w:rsidRPr="0013082C">
        <w:rPr>
          <w:rFonts w:ascii="Times New Roman" w:hAnsi="Times New Roman" w:cs="Times New Roman"/>
          <w:sz w:val="24"/>
          <w:szCs w:val="24"/>
        </w:rPr>
        <w:t xml:space="preserve"> ewidencjonuje się </w:t>
      </w:r>
      <w:r w:rsidRPr="0013082C">
        <w:rPr>
          <w:rFonts w:ascii="Times New Roman" w:hAnsi="Times New Roman" w:cs="Times New Roman"/>
          <w:b/>
          <w:sz w:val="24"/>
          <w:szCs w:val="24"/>
        </w:rPr>
        <w:t xml:space="preserve">w cenie </w:t>
      </w:r>
      <w:r w:rsidR="008E402C">
        <w:rPr>
          <w:rFonts w:ascii="Times New Roman" w:hAnsi="Times New Roman" w:cs="Times New Roman"/>
          <w:b/>
          <w:sz w:val="24"/>
          <w:szCs w:val="24"/>
        </w:rPr>
        <w:t>zakupu</w:t>
      </w:r>
      <w:r w:rsidRPr="0013082C">
        <w:rPr>
          <w:rFonts w:ascii="Times New Roman" w:hAnsi="Times New Roman" w:cs="Times New Roman"/>
          <w:b/>
          <w:sz w:val="24"/>
          <w:szCs w:val="24"/>
        </w:rPr>
        <w:t>,</w:t>
      </w:r>
      <w:r w:rsidR="008E402C">
        <w:rPr>
          <w:rFonts w:ascii="Times New Roman" w:hAnsi="Times New Roman" w:cs="Times New Roman"/>
          <w:b/>
          <w:sz w:val="24"/>
          <w:szCs w:val="24"/>
        </w:rPr>
        <w:t xml:space="preserve"> </w:t>
      </w:r>
      <w:r w:rsidRPr="0013082C">
        <w:rPr>
          <w:rFonts w:ascii="Times New Roman" w:hAnsi="Times New Roman" w:cs="Times New Roman"/>
          <w:sz w:val="24"/>
          <w:szCs w:val="24"/>
        </w:rPr>
        <w:t xml:space="preserve">a otrzymane od innej jednostki – </w:t>
      </w:r>
      <w:r w:rsidR="008E402C">
        <w:rPr>
          <w:rFonts w:ascii="Times New Roman" w:hAnsi="Times New Roman" w:cs="Times New Roman"/>
          <w:sz w:val="24"/>
          <w:szCs w:val="24"/>
        </w:rPr>
        <w:t xml:space="preserve">                  </w:t>
      </w:r>
      <w:r w:rsidRPr="0013082C">
        <w:rPr>
          <w:rFonts w:ascii="Times New Roman" w:hAnsi="Times New Roman" w:cs="Times New Roman"/>
          <w:b/>
          <w:sz w:val="24"/>
          <w:szCs w:val="24"/>
        </w:rPr>
        <w:t>w wartości określonej w decyzji właściwego organu.</w:t>
      </w:r>
      <w:r w:rsidRPr="0013082C">
        <w:rPr>
          <w:rFonts w:ascii="Times New Roman" w:hAnsi="Times New Roman" w:cs="Times New Roman"/>
          <w:sz w:val="24"/>
          <w:szCs w:val="24"/>
        </w:rPr>
        <w:t xml:space="preserve"> Otrzymane </w:t>
      </w:r>
      <w:r w:rsidRPr="0013082C">
        <w:rPr>
          <w:rFonts w:ascii="Times New Roman" w:hAnsi="Times New Roman" w:cs="Times New Roman"/>
          <w:b/>
          <w:sz w:val="24"/>
          <w:szCs w:val="24"/>
        </w:rPr>
        <w:t xml:space="preserve">w formie darowizny wycenia się w wartości ustalonej na podstawie aktualnych cen </w:t>
      </w:r>
      <w:r w:rsidR="008E402C">
        <w:rPr>
          <w:rFonts w:ascii="Times New Roman" w:hAnsi="Times New Roman" w:cs="Times New Roman"/>
          <w:b/>
          <w:sz w:val="24"/>
          <w:szCs w:val="24"/>
        </w:rPr>
        <w:t>zakupu</w:t>
      </w:r>
      <w:r w:rsidRPr="0013082C">
        <w:rPr>
          <w:rFonts w:ascii="Times New Roman" w:hAnsi="Times New Roman" w:cs="Times New Roman"/>
          <w:sz w:val="24"/>
          <w:szCs w:val="24"/>
        </w:rPr>
        <w:t>, chyba, że umowa darowizny określa tę wartość w niższej cenie.</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Pozostałe środki trwałe ujmuje się w ewidencji </w:t>
      </w:r>
      <w:r w:rsidRPr="0013082C">
        <w:rPr>
          <w:rFonts w:ascii="Times New Roman" w:hAnsi="Times New Roman" w:cs="Times New Roman"/>
          <w:b/>
          <w:sz w:val="24"/>
          <w:szCs w:val="24"/>
        </w:rPr>
        <w:t>w wartości początkowej, na którą składają się cena nabycia lub koszt wytworzenia.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2.3. Inwestycje (Środki trwałe w budowie) </w:t>
      </w:r>
      <w:r w:rsidRPr="0013082C">
        <w:rPr>
          <w:rFonts w:ascii="Times New Roman" w:hAnsi="Times New Roman" w:cs="Times New Roman"/>
          <w:sz w:val="24"/>
          <w:szCs w:val="24"/>
        </w:rPr>
        <w:t xml:space="preserve">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Koszty inwestycji obejmują</w:t>
      </w:r>
      <w:r w:rsidRPr="0013082C">
        <w:rPr>
          <w:rFonts w:ascii="Times New Roman" w:hAnsi="Times New Roman" w:cs="Times New Roman"/>
          <w:sz w:val="24"/>
          <w:szCs w:val="24"/>
        </w:rPr>
        <w:t xml:space="preserve"> wartość w cenie nabycia wszystkich zużytych do wytworzenia rzeczowych składników majątku i wykonanych usług obcych, wartość wynagrodzeń za pracę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pochodnymi, wartość świadczeń nieodpłatnych oraz inne koszty dające się zaliczyć do wartości wytworzonych przedmiotów majątkowych, w tym również:</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niepodlegający odliczeniu podatek od towarów i usług oraz podatek akcyzowy,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opłaty notarialne, sądowe, itp.,</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 odszkodowania dla osób fizycznych i prawnych wynikłe do zakończenia budowy.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Do kosztów wytworzenia środków trwałych nie zalicza się</w:t>
      </w:r>
      <w:r w:rsidRPr="0013082C">
        <w:rPr>
          <w:rFonts w:ascii="Times New Roman" w:hAnsi="Times New Roman" w:cs="Times New Roman"/>
          <w:sz w:val="24"/>
          <w:szCs w:val="24"/>
        </w:rPr>
        <w:t xml:space="preserve"> kosztów ogólnego zarządu oraz kosztów poniesionych przed udzieleniem zamówień związanych  z realizowaną inwestycją tj. kosztów przetargów, ogłoszeń i innych.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Wartość powstałych w wyniku inwestycji składników majątku trwałego</w:t>
      </w:r>
      <w:r w:rsidRPr="0013082C">
        <w:rPr>
          <w:rFonts w:ascii="Times New Roman" w:hAnsi="Times New Roman" w:cs="Times New Roman"/>
          <w:sz w:val="24"/>
          <w:szCs w:val="24"/>
        </w:rPr>
        <w:t xml:space="preserve"> ustala się w wysokości kosztów ich wytworzenia lub ceny nabycia łącznie z  niepodlegającym odliczeniu podatkiem VAT.</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Środki trwałe w budowie wycenia się nie rzadziej niż na dzień bilansowy (art.28 ust. 1 pkt. 2 ustawy o rachunkowości) w wysokości ogółu kosztów pozostających w bezpośrednim związku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ich nabyciem lub wytworzeniem, pomniejszonym o odpisy z tytułu trwałej utraty wartości.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bCs/>
          <w:sz w:val="24"/>
          <w:szCs w:val="24"/>
        </w:rPr>
        <w:t>3.</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Należności długoterminowe</w:t>
      </w:r>
      <w:r w:rsidRPr="0013082C">
        <w:rPr>
          <w:rFonts w:ascii="Times New Roman" w:hAnsi="Times New Roman" w:cs="Times New Roman"/>
          <w:sz w:val="24"/>
          <w:szCs w:val="24"/>
        </w:rPr>
        <w:t xml:space="preserve"> to należności, których termin spłaty przypada w okresie dłuższym niż rok od dnia bilansowego. Wyceniane są w kwocie wymagającej zapłaty, a więc łącznie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należnymi odsetkami, pomniejszonej o ewentualne odpisy aktualizujące ich wartość (zasada ostrożności) zgodnie z art. 35b ust.1 ustawy o rachunkowości.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4. Długoterminowe aktywa finansowe</w:t>
      </w:r>
      <w:r w:rsidRPr="0013082C">
        <w:rPr>
          <w:rFonts w:ascii="Times New Roman" w:hAnsi="Times New Roman" w:cs="Times New Roman"/>
          <w:sz w:val="24"/>
          <w:szCs w:val="24"/>
        </w:rPr>
        <w:t xml:space="preserve"> to aktywa finansowe (rozumiane zgodnie z ustawą                        o rachunkowości jako inwestycje długoterminowe). Obejmują w szczególności:</w:t>
      </w:r>
    </w:p>
    <w:p w:rsidR="0013082C" w:rsidRPr="0013082C" w:rsidRDefault="0013082C" w:rsidP="0013082C">
      <w:pPr>
        <w:numPr>
          <w:ilvl w:val="0"/>
          <w:numId w:val="9"/>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akcje i udziały w obcych podmiotach gospodarczych,</w:t>
      </w:r>
    </w:p>
    <w:p w:rsidR="0013082C" w:rsidRPr="0013082C" w:rsidRDefault="0013082C" w:rsidP="0013082C">
      <w:pPr>
        <w:numPr>
          <w:ilvl w:val="0"/>
          <w:numId w:val="9"/>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akcje i inne długoterminowe papiery wartościowe traktowane jako lokaty długoterminowe.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Na dzień przyjęcia do ewidencji </w:t>
      </w:r>
      <w:r w:rsidRPr="0013082C">
        <w:rPr>
          <w:rFonts w:ascii="Times New Roman" w:hAnsi="Times New Roman" w:cs="Times New Roman"/>
          <w:b/>
          <w:sz w:val="24"/>
          <w:szCs w:val="24"/>
        </w:rPr>
        <w:t>wyceniane są w cenie nabycia lub cenie zakupu</w:t>
      </w:r>
      <w:r w:rsidRPr="0013082C">
        <w:rPr>
          <w:rFonts w:ascii="Times New Roman" w:hAnsi="Times New Roman" w:cs="Times New Roman"/>
          <w:sz w:val="24"/>
          <w:szCs w:val="24"/>
        </w:rPr>
        <w:t>, jeżeli koszty przeprowadzenia transakcji nie są istotne.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Na dzień bilansowy </w:t>
      </w:r>
      <w:r w:rsidRPr="0013082C">
        <w:rPr>
          <w:rFonts w:ascii="Times New Roman" w:hAnsi="Times New Roman" w:cs="Times New Roman"/>
          <w:b/>
          <w:sz w:val="24"/>
          <w:szCs w:val="24"/>
        </w:rPr>
        <w:t>udziały w innych jednostkach oraz inne inwestycje</w:t>
      </w:r>
      <w:r w:rsidRPr="0013082C">
        <w:rPr>
          <w:rFonts w:ascii="Times New Roman" w:hAnsi="Times New Roman" w:cs="Times New Roman"/>
          <w:sz w:val="24"/>
          <w:szCs w:val="24"/>
        </w:rPr>
        <w:t xml:space="preserve"> długoterminowe wyceniane są w:</w:t>
      </w:r>
    </w:p>
    <w:p w:rsidR="0013082C" w:rsidRPr="0013082C" w:rsidRDefault="0013082C" w:rsidP="0013082C">
      <w:pPr>
        <w:numPr>
          <w:ilvl w:val="0"/>
          <w:numId w:val="10"/>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cenie nabycia pomniejszonej o odpisy z tytułu trwałej utraty wartości,</w:t>
      </w:r>
    </w:p>
    <w:p w:rsidR="0013082C" w:rsidRPr="0013082C" w:rsidRDefault="0013082C" w:rsidP="0013082C">
      <w:pPr>
        <w:numPr>
          <w:ilvl w:val="0"/>
          <w:numId w:val="10"/>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wartości godziwej,</w:t>
      </w:r>
    </w:p>
    <w:p w:rsidR="0013082C" w:rsidRPr="0013082C" w:rsidRDefault="0013082C" w:rsidP="0013082C">
      <w:pPr>
        <w:numPr>
          <w:ilvl w:val="0"/>
          <w:numId w:val="10"/>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cenie rynkowej, będącej wynikiem przeszacowania ceny nabycia.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Ewidencja szczegółowa</w:t>
      </w:r>
      <w:r w:rsidRPr="0013082C">
        <w:rPr>
          <w:rFonts w:ascii="Times New Roman" w:hAnsi="Times New Roman" w:cs="Times New Roman"/>
          <w:sz w:val="24"/>
          <w:szCs w:val="24"/>
        </w:rPr>
        <w:t xml:space="preserve"> powinna zapewnić ustalenie wartości bilansowej (netto) poszczególnych rodzajów długoterminowych aktywów finansowych.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5.  Mienie zlikwidowanych jednostek</w:t>
      </w:r>
      <w:r w:rsidRPr="0013082C">
        <w:rPr>
          <w:rFonts w:ascii="Times New Roman" w:hAnsi="Times New Roman" w:cs="Times New Roman"/>
          <w:sz w:val="24"/>
          <w:szCs w:val="24"/>
        </w:rPr>
        <w:t xml:space="preserve"> to rzeczowe składniki majątkowe faktycznie przejęte przez jednostkę budżetową (urząd gminy – organ nadzorujący) po zlikwidowanym zakładzie budżetowym (komunalnym), jednostce budżetowej lub innej podległej jednostce, do czasu podjęcia decyzji przez organ stanowiący (Radę Gminy) o ich przeznaczeniu. Nie dotyczy to mienia po zlikwidowanych jednostkach, które kontynuują działalność. Składniki takiego mienia ujmowane są na koncie „015” Mienie zlikwidowanych jednostek” według wartości netto wynikającej z bilansu zamknięcia zlikwidowanego podmiotu i załączników do bilansu. Rozchodowane są według wartości określonej w: </w:t>
      </w:r>
    </w:p>
    <w:p w:rsidR="0013082C" w:rsidRPr="0013082C" w:rsidRDefault="0013082C" w:rsidP="0013082C">
      <w:pPr>
        <w:numPr>
          <w:ilvl w:val="0"/>
          <w:numId w:val="11"/>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decyzji/umowie o przekazaniu innym podmiotom,</w:t>
      </w:r>
    </w:p>
    <w:p w:rsidR="0013082C" w:rsidRPr="0013082C" w:rsidRDefault="0013082C" w:rsidP="0013082C">
      <w:pPr>
        <w:numPr>
          <w:ilvl w:val="0"/>
          <w:numId w:val="11"/>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decyzji o przyjęciu środków trwałych jednostki,</w:t>
      </w:r>
    </w:p>
    <w:p w:rsidR="0013082C" w:rsidRPr="0013082C" w:rsidRDefault="0013082C" w:rsidP="0013082C">
      <w:pPr>
        <w:numPr>
          <w:ilvl w:val="0"/>
          <w:numId w:val="11"/>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dokumencie sprzedaży,</w:t>
      </w:r>
    </w:p>
    <w:p w:rsidR="0013082C" w:rsidRPr="0013082C" w:rsidRDefault="0013082C" w:rsidP="0013082C">
      <w:pPr>
        <w:numPr>
          <w:ilvl w:val="0"/>
          <w:numId w:val="11"/>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dokumencie o likwidacji składników mienia.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Ewidencja analityczna mienia</w:t>
      </w:r>
      <w:r w:rsidRPr="0013082C">
        <w:rPr>
          <w:rFonts w:ascii="Times New Roman" w:hAnsi="Times New Roman" w:cs="Times New Roman"/>
          <w:sz w:val="24"/>
          <w:szCs w:val="24"/>
        </w:rPr>
        <w:t xml:space="preserve"> prowadzona jest w postaci specyfiki majątku ujętego                       w bilansie zlikwidowanego podmiotu wraz z załącznikami.</w:t>
      </w:r>
    </w:p>
    <w:p w:rsidR="0013082C" w:rsidRPr="0013082C" w:rsidRDefault="0013082C" w:rsidP="0013082C">
      <w:pPr>
        <w:jc w:val="center"/>
        <w:rPr>
          <w:rFonts w:ascii="Times New Roman" w:hAnsi="Times New Roman" w:cs="Times New Roman"/>
          <w:b/>
          <w:i/>
          <w:sz w:val="24"/>
          <w:szCs w:val="24"/>
        </w:rPr>
      </w:pPr>
    </w:p>
    <w:p w:rsidR="0013082C" w:rsidRPr="0013082C" w:rsidRDefault="0013082C" w:rsidP="0013082C">
      <w:pPr>
        <w:spacing w:line="360" w:lineRule="auto"/>
        <w:jc w:val="center"/>
        <w:rPr>
          <w:rFonts w:ascii="Times New Roman" w:hAnsi="Times New Roman" w:cs="Times New Roman"/>
          <w:b/>
          <w:i/>
          <w:sz w:val="24"/>
          <w:szCs w:val="24"/>
        </w:rPr>
      </w:pPr>
      <w:r w:rsidRPr="0013082C">
        <w:rPr>
          <w:rFonts w:ascii="Times New Roman" w:hAnsi="Times New Roman" w:cs="Times New Roman"/>
          <w:b/>
          <w:i/>
          <w:sz w:val="24"/>
          <w:szCs w:val="24"/>
        </w:rPr>
        <w:t>B. AKTYWA OBROTOWE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Aktywa obrotowe</w:t>
      </w:r>
      <w:r w:rsidRPr="0013082C">
        <w:rPr>
          <w:rFonts w:ascii="Times New Roman" w:hAnsi="Times New Roman" w:cs="Times New Roman"/>
          <w:sz w:val="24"/>
          <w:szCs w:val="24"/>
        </w:rPr>
        <w:t xml:space="preserve"> </w:t>
      </w:r>
      <w:r w:rsidRPr="0013082C">
        <w:rPr>
          <w:rFonts w:ascii="Times New Roman" w:hAnsi="Times New Roman" w:cs="Times New Roman"/>
          <w:i/>
          <w:sz w:val="24"/>
          <w:szCs w:val="24"/>
        </w:rPr>
        <w:t>składają się z rzeczowych aktywów obrotowych, należności krótkoterminowych, środków pieniężnych, krótkoterminowych papierów wartościowych</w:t>
      </w:r>
      <w:r w:rsidR="00220251">
        <w:rPr>
          <w:rFonts w:ascii="Times New Roman" w:hAnsi="Times New Roman" w:cs="Times New Roman"/>
          <w:i/>
          <w:sz w:val="24"/>
          <w:szCs w:val="24"/>
        </w:rPr>
        <w:t xml:space="preserve"> </w:t>
      </w:r>
      <w:r w:rsidRPr="0013082C">
        <w:rPr>
          <w:rFonts w:ascii="Times New Roman" w:hAnsi="Times New Roman" w:cs="Times New Roman"/>
          <w:i/>
          <w:sz w:val="24"/>
          <w:szCs w:val="24"/>
        </w:rPr>
        <w:t xml:space="preserve"> i rozliczeń międzyokresowych</w:t>
      </w:r>
      <w:r w:rsidRPr="0013082C">
        <w:rPr>
          <w:rFonts w:ascii="Times New Roman" w:hAnsi="Times New Roman" w:cs="Times New Roman"/>
          <w:sz w:val="24"/>
          <w:szCs w:val="24"/>
        </w:rPr>
        <w:t>.</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 xml:space="preserve">1. Rzeczowe aktywa obrotowe </w:t>
      </w:r>
      <w:r w:rsidRPr="0013082C">
        <w:rPr>
          <w:rFonts w:ascii="Times New Roman" w:hAnsi="Times New Roman" w:cs="Times New Roman"/>
          <w:sz w:val="24"/>
          <w:szCs w:val="24"/>
        </w:rPr>
        <w:t xml:space="preserve">są to materiały nabyte w celu zbycia lub zużycia w ciągu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 xml:space="preserve">12 miesięcy od dnia bilansowego na własne potrzeby wytworzone lub przetworzone przez jednostkę produkty gotowe ( wyroby i usługi), półprodukty oraz towary nabyte w celu odsprzedaży w stanie nieprzetworzonym. W bilansie jednostki występują pod nazwą </w:t>
      </w:r>
      <w:r w:rsidRPr="0013082C">
        <w:rPr>
          <w:rFonts w:ascii="Times New Roman" w:hAnsi="Times New Roman" w:cs="Times New Roman"/>
          <w:b/>
          <w:sz w:val="24"/>
          <w:szCs w:val="24"/>
        </w:rPr>
        <w:t>zapasów.</w:t>
      </w:r>
    </w:p>
    <w:p w:rsidR="0013082C" w:rsidRPr="0013082C" w:rsidRDefault="0013082C" w:rsidP="0013082C">
      <w:pPr>
        <w:spacing w:line="360" w:lineRule="auto"/>
        <w:jc w:val="center"/>
        <w:rPr>
          <w:rFonts w:ascii="Times New Roman" w:hAnsi="Times New Roman" w:cs="Times New Roman"/>
          <w:b/>
          <w:sz w:val="24"/>
          <w:szCs w:val="24"/>
        </w:rPr>
      </w:pPr>
    </w:p>
    <w:p w:rsidR="00D50685" w:rsidRDefault="00D50685" w:rsidP="0013082C">
      <w:pPr>
        <w:spacing w:line="360" w:lineRule="auto"/>
        <w:jc w:val="center"/>
        <w:rPr>
          <w:rFonts w:ascii="Times New Roman" w:hAnsi="Times New Roman" w:cs="Times New Roman"/>
          <w:b/>
          <w:sz w:val="24"/>
          <w:szCs w:val="24"/>
        </w:rPr>
      </w:pPr>
    </w:p>
    <w:p w:rsidR="00D50685" w:rsidRDefault="00D50685" w:rsidP="0013082C">
      <w:pPr>
        <w:spacing w:line="360" w:lineRule="auto"/>
        <w:jc w:val="center"/>
        <w:rPr>
          <w:rFonts w:ascii="Times New Roman" w:hAnsi="Times New Roman" w:cs="Times New Roman"/>
          <w:b/>
          <w:sz w:val="24"/>
          <w:szCs w:val="24"/>
        </w:rPr>
      </w:pP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ZAPASY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Zapasy</w:t>
      </w:r>
      <w:r w:rsidRPr="0013082C">
        <w:rPr>
          <w:rFonts w:ascii="Times New Roman" w:hAnsi="Times New Roman" w:cs="Times New Roman"/>
          <w:sz w:val="24"/>
          <w:szCs w:val="24"/>
        </w:rPr>
        <w:t xml:space="preserve"> są to materiały nabyte w celu zużycia na potrzeby własne w ilościach, które nie wskazują na jednorazowe zużycie (m.in. materiały remontowe, gospodarcze, paliwo, opał)</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i są przeznaczone do zużycia w ciągu 12 miesięcy od dnia bilansowego.</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Materiały wycenia się w cenach ewidencyjnych równych cenom nabycia lub zakupu, jeśli koszty zakupu nie stanowią istotnej wartości. W jednostce wycenia się je:</w:t>
      </w:r>
    </w:p>
    <w:p w:rsidR="0013082C" w:rsidRPr="0013082C" w:rsidRDefault="0013082C" w:rsidP="0013082C">
      <w:pPr>
        <w:numPr>
          <w:ilvl w:val="0"/>
          <w:numId w:val="12"/>
        </w:numPr>
        <w:spacing w:after="0" w:line="360" w:lineRule="auto"/>
        <w:jc w:val="both"/>
        <w:rPr>
          <w:rFonts w:ascii="Times New Roman" w:hAnsi="Times New Roman" w:cs="Times New Roman"/>
          <w:sz w:val="24"/>
          <w:szCs w:val="24"/>
        </w:rPr>
      </w:pPr>
      <w:r w:rsidRPr="0013082C">
        <w:rPr>
          <w:rFonts w:ascii="Times New Roman" w:hAnsi="Times New Roman" w:cs="Times New Roman"/>
          <w:b/>
          <w:sz w:val="24"/>
          <w:szCs w:val="24"/>
        </w:rPr>
        <w:t xml:space="preserve">w rzeczywistych  cenach  zakupu, z zastosowaniem metody FIFO, </w:t>
      </w:r>
      <w:r w:rsidRPr="0013082C">
        <w:rPr>
          <w:rFonts w:ascii="Times New Roman" w:hAnsi="Times New Roman" w:cs="Times New Roman"/>
          <w:sz w:val="24"/>
          <w:szCs w:val="24"/>
        </w:rPr>
        <w:t>czyli metoda „pierwsze weszło – pierwsze wyszło”. Metoda ta zakłada, że materiały wydawane są</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z magazynu zgodnie z kolejnością ich przyjęcia, to znaczy dostawy materiałów, które najwcześniej zostały przyjęte do magazynu, zostają wydane jako pierwsze. Metoda ta wykorzystuje ostatnie ceny jako wartość końcową materiałów. Dzięki temu zapasy wskazują wartość najbardziej aktualną z ceną rynkową.</w:t>
      </w:r>
    </w:p>
    <w:p w:rsidR="0013082C" w:rsidRPr="0013082C" w:rsidRDefault="0013082C" w:rsidP="0013082C">
      <w:pPr>
        <w:spacing w:line="360" w:lineRule="auto"/>
        <w:ind w:left="360"/>
        <w:jc w:val="both"/>
        <w:rPr>
          <w:rFonts w:ascii="Times New Roman" w:hAnsi="Times New Roman" w:cs="Times New Roman"/>
          <w:sz w:val="24"/>
          <w:szCs w:val="24"/>
        </w:rPr>
      </w:pPr>
      <w:r w:rsidRPr="0013082C">
        <w:rPr>
          <w:rFonts w:ascii="Times New Roman" w:hAnsi="Times New Roman" w:cs="Times New Roman"/>
          <w:b/>
          <w:sz w:val="24"/>
          <w:szCs w:val="24"/>
        </w:rPr>
        <w:t>Jednostka nie prowadzi ewidencji obrotu materiałowego</w:t>
      </w:r>
      <w:r w:rsidRPr="0013082C">
        <w:rPr>
          <w:rFonts w:ascii="Times New Roman" w:hAnsi="Times New Roman" w:cs="Times New Roman"/>
          <w:sz w:val="24"/>
          <w:szCs w:val="24"/>
        </w:rPr>
        <w:t xml:space="preserve">. Zakupione materiały przekazywane są bezpośrednio do zużycia w działalności, tj. koszty ich zakupu zalicza się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w całości do kosztów okresu, w którym je poniesiono i ewidencjonuje się na koncie zespołu „4”</w:t>
      </w:r>
      <w:r w:rsidRPr="0013082C">
        <w:rPr>
          <w:rFonts w:ascii="Times New Roman" w:hAnsi="Times New Roman" w:cs="Times New Roman"/>
          <w:b/>
          <w:sz w:val="24"/>
          <w:szCs w:val="24"/>
        </w:rPr>
        <w:t>.</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 xml:space="preserve">Na koniec roku  na podstawie spisu z natury </w:t>
      </w:r>
      <w:r w:rsidRPr="0013082C">
        <w:rPr>
          <w:rFonts w:ascii="Times New Roman" w:hAnsi="Times New Roman" w:cs="Times New Roman"/>
          <w:sz w:val="24"/>
          <w:szCs w:val="24"/>
        </w:rPr>
        <w:t xml:space="preserve">ustalana jest wartość niezużytych materiałów w cenie zakupu, którą ujmuje się na </w:t>
      </w:r>
      <w:r w:rsidRPr="0013082C">
        <w:rPr>
          <w:rFonts w:ascii="Times New Roman" w:hAnsi="Times New Roman" w:cs="Times New Roman"/>
          <w:b/>
          <w:sz w:val="24"/>
          <w:szCs w:val="24"/>
        </w:rPr>
        <w:t>koncie 310 „Materiały”,</w:t>
      </w:r>
      <w:r w:rsidRPr="0013082C">
        <w:rPr>
          <w:rFonts w:ascii="Times New Roman" w:hAnsi="Times New Roman" w:cs="Times New Roman"/>
          <w:sz w:val="24"/>
          <w:szCs w:val="24"/>
        </w:rPr>
        <w:t xml:space="preserve"> zmniejszając równocześnie koszty działalności.</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Od składników zaliczanych do zapasów nie dokonuje się odpisów z tytułu trwałej utraty ważności.</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Wykaz materiałów odpisywanych bezpośrednio w koszt w momencie zakupu stanowi załącznik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nr 3 do niniejszego dokumentu</w:t>
      </w:r>
      <w:r w:rsidRPr="0013082C">
        <w:rPr>
          <w:rFonts w:ascii="Times New Roman" w:hAnsi="Times New Roman" w:cs="Times New Roman"/>
          <w:b/>
          <w:sz w:val="24"/>
          <w:szCs w:val="24"/>
        </w:rPr>
        <w:t>.</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Należności krótkoterminowe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Należności krótkoterminowe</w:t>
      </w:r>
      <w:r w:rsidRPr="0013082C">
        <w:rPr>
          <w:rFonts w:ascii="Times New Roman" w:hAnsi="Times New Roman" w:cs="Times New Roman"/>
          <w:sz w:val="24"/>
          <w:szCs w:val="24"/>
        </w:rPr>
        <w:t xml:space="preserve"> to należności z terminem spłaty krótszym od jednego rok od dnia bilansowego. </w:t>
      </w:r>
      <w:r w:rsidRPr="0013082C">
        <w:rPr>
          <w:rFonts w:ascii="Times New Roman" w:hAnsi="Times New Roman" w:cs="Times New Roman"/>
          <w:b/>
          <w:sz w:val="24"/>
          <w:szCs w:val="24"/>
        </w:rPr>
        <w:t>Wyceniane są w wartości nominalnej łącznie z podatkiem VAT, a na dzień bilansowy w wysokości wymaganej zapłaty</w:t>
      </w:r>
      <w:r w:rsidRPr="0013082C">
        <w:rPr>
          <w:rFonts w:ascii="Times New Roman" w:hAnsi="Times New Roman" w:cs="Times New Roman"/>
          <w:sz w:val="24"/>
          <w:szCs w:val="24"/>
        </w:rPr>
        <w:t xml:space="preserve">, czyli łącznie z wymagalnymi odsetkami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z zachowaniem zasady ostrożnej wyceny, tj. w wysokości netto, czyli po pomniejszeniu                   o wartość ewentualnych odpisów aktualizujących dotyczących należności wątpliwych                 (art. 35 b ust. 1 ustawy o rachunkowości).</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W jednostce należności krótkoterminowe </w:t>
      </w:r>
      <w:r w:rsidRPr="0013082C">
        <w:rPr>
          <w:rFonts w:ascii="Times New Roman" w:hAnsi="Times New Roman" w:cs="Times New Roman"/>
          <w:b/>
          <w:sz w:val="24"/>
          <w:szCs w:val="24"/>
        </w:rPr>
        <w:t>z tytułu dochodów budżetowych</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których termin płatności przypada na bieżący rok budżetowy ujmowane są na koncie 221 „Należności                     z tytułu dochodów budżetowych”,</w:t>
      </w:r>
      <w:r w:rsidRPr="0013082C">
        <w:rPr>
          <w:rFonts w:ascii="Times New Roman" w:hAnsi="Times New Roman" w:cs="Times New Roman"/>
          <w:sz w:val="24"/>
          <w:szCs w:val="24"/>
        </w:rPr>
        <w:t xml:space="preserve"> zaś podobne należności, ale </w:t>
      </w:r>
      <w:r w:rsidRPr="0013082C">
        <w:rPr>
          <w:rFonts w:ascii="Times New Roman" w:hAnsi="Times New Roman" w:cs="Times New Roman"/>
          <w:b/>
          <w:sz w:val="24"/>
          <w:szCs w:val="24"/>
        </w:rPr>
        <w:t>o terminie zapłaty                        w następnym roku (kolejnych latach)</w:t>
      </w:r>
      <w:r w:rsidRPr="0013082C">
        <w:rPr>
          <w:rFonts w:ascii="Times New Roman" w:hAnsi="Times New Roman" w:cs="Times New Roman"/>
          <w:sz w:val="24"/>
          <w:szCs w:val="24"/>
        </w:rPr>
        <w:t xml:space="preserve"> ujmowane są na </w:t>
      </w:r>
      <w:r w:rsidRPr="0013082C">
        <w:rPr>
          <w:rFonts w:ascii="Times New Roman" w:hAnsi="Times New Roman" w:cs="Times New Roman"/>
          <w:b/>
          <w:sz w:val="24"/>
          <w:szCs w:val="24"/>
        </w:rPr>
        <w:t>koncie 226 „Długoterminowe należności budżetowe”.</w:t>
      </w:r>
    </w:p>
    <w:p w:rsidR="0013082C" w:rsidRPr="0013082C" w:rsidRDefault="0013082C" w:rsidP="0013082C">
      <w:pPr>
        <w:jc w:val="both"/>
        <w:rPr>
          <w:rFonts w:ascii="Times New Roman" w:hAnsi="Times New Roman" w:cs="Times New Roman"/>
          <w:b/>
          <w:sz w:val="24"/>
          <w:szCs w:val="24"/>
        </w:rPr>
      </w:pP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Odsetki od należności ujmuje się w momencie ich zapłaty lub w wysokości odsetek należnych na koniec kwartału.</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Należności wyrażone w walutach obcych</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wycenia się</w:t>
      </w:r>
      <w:r w:rsidRPr="0013082C">
        <w:rPr>
          <w:rFonts w:ascii="Times New Roman" w:hAnsi="Times New Roman" w:cs="Times New Roman"/>
          <w:sz w:val="24"/>
          <w:szCs w:val="24"/>
        </w:rPr>
        <w:t xml:space="preserve"> nie później niż na koniec kwartału według zasad obowiązujących na dzień bilansowy, tj. według kursu średniego danej waluty ustalonego przez Prezesa NBP na ten dzień.</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Umarzanie należności dokonuje się</w:t>
      </w:r>
      <w:r w:rsidRPr="0013082C">
        <w:rPr>
          <w:rFonts w:ascii="Times New Roman" w:hAnsi="Times New Roman" w:cs="Times New Roman"/>
          <w:sz w:val="24"/>
          <w:szCs w:val="24"/>
        </w:rPr>
        <w:t xml:space="preserve"> zgodnie z obowiązującymi w tym zakresie  przepisami prawa.</w:t>
      </w: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Środki pieniężne</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b/>
          <w:sz w:val="24"/>
          <w:szCs w:val="24"/>
        </w:rPr>
        <w:t xml:space="preserve">Środki pieniężne </w:t>
      </w:r>
      <w:r w:rsidRPr="0013082C">
        <w:rPr>
          <w:rFonts w:ascii="Times New Roman" w:hAnsi="Times New Roman" w:cs="Times New Roman"/>
          <w:sz w:val="24"/>
          <w:szCs w:val="24"/>
        </w:rPr>
        <w:t>w jednostce tworzą;</w:t>
      </w:r>
    </w:p>
    <w:p w:rsidR="0013082C" w:rsidRPr="0013082C" w:rsidRDefault="0013082C" w:rsidP="0013082C">
      <w:pPr>
        <w:numPr>
          <w:ilvl w:val="1"/>
          <w:numId w:val="12"/>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środki pieniężne w kasie,</w:t>
      </w:r>
    </w:p>
    <w:p w:rsidR="0013082C" w:rsidRPr="0013082C" w:rsidRDefault="0013082C" w:rsidP="0013082C">
      <w:pPr>
        <w:numPr>
          <w:ilvl w:val="1"/>
          <w:numId w:val="12"/>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środki pieniężne na rachunkach bankowych,</w:t>
      </w:r>
    </w:p>
    <w:p w:rsidR="0013082C" w:rsidRPr="0013082C" w:rsidRDefault="0013082C" w:rsidP="0013082C">
      <w:pPr>
        <w:numPr>
          <w:ilvl w:val="1"/>
          <w:numId w:val="12"/>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inne środki pieniężne.</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1.Środki pieniężne w kasie</w:t>
      </w:r>
      <w:r w:rsidRPr="0013082C">
        <w:rPr>
          <w:rFonts w:ascii="Times New Roman" w:hAnsi="Times New Roman" w:cs="Times New Roman"/>
          <w:sz w:val="24"/>
          <w:szCs w:val="24"/>
        </w:rPr>
        <w:t xml:space="preserve"> jednostki mogą być w formie gotówkowej w złotych (banknoty, monety). Jednostka ujmuje wpłaty i wypłaty gotówką – </w:t>
      </w:r>
      <w:r w:rsidRPr="0013082C">
        <w:rPr>
          <w:rFonts w:ascii="Times New Roman" w:hAnsi="Times New Roman" w:cs="Times New Roman"/>
          <w:b/>
          <w:sz w:val="24"/>
          <w:szCs w:val="24"/>
        </w:rPr>
        <w:t xml:space="preserve">w tym samym dniu, w którym zostały dokonane, a w szczególnie uzasadnionych przypadkach w dniu następnym, ale nie później niż raz w tygodniu, przy czym gotówka pozostająca w kasie do dnia następnego nie może przekroczyć wysokości obowiązującego w jednostce pogotowia kasowego. </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W kasie urzędu można dokonywać transakcji bezgotówkowych. Potwierdzeniem realizacji takiej transakcji jest wydruk dowodu wpłaty. Opis transakcji bezgotówkowych został zamieszczony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w instrukcji kasowej.</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 xml:space="preserve">Pogotowie kasowe na bieżące wydatki określa się na kwotę </w:t>
      </w:r>
      <w:r w:rsidR="00220251">
        <w:rPr>
          <w:rFonts w:ascii="Times New Roman" w:hAnsi="Times New Roman" w:cs="Times New Roman"/>
          <w:b/>
          <w:sz w:val="24"/>
          <w:szCs w:val="24"/>
        </w:rPr>
        <w:t>4</w:t>
      </w:r>
      <w:r w:rsidRPr="0013082C">
        <w:rPr>
          <w:rFonts w:ascii="Times New Roman" w:hAnsi="Times New Roman" w:cs="Times New Roman"/>
          <w:b/>
          <w:sz w:val="24"/>
          <w:szCs w:val="24"/>
        </w:rPr>
        <w:t xml:space="preserve"> 000 zł.</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Szczegółowe zasady gospodarki kasowej zostały określone w instrukcji dotyczącej gospodarki kasowej</w:t>
      </w:r>
      <w:r w:rsidRPr="0013082C">
        <w:rPr>
          <w:rFonts w:ascii="Times New Roman" w:hAnsi="Times New Roman" w:cs="Times New Roman"/>
          <w:b/>
          <w:sz w:val="24"/>
          <w:szCs w:val="24"/>
        </w:rPr>
        <w:t>.</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2. Środki pieniężne w banku </w:t>
      </w:r>
      <w:r w:rsidRPr="0013082C">
        <w:rPr>
          <w:rFonts w:ascii="Times New Roman" w:hAnsi="Times New Roman" w:cs="Times New Roman"/>
          <w:sz w:val="24"/>
          <w:szCs w:val="24"/>
        </w:rPr>
        <w:t>są gromadzone na rachunku bieżącym i na rachunkach pomocniczych.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Rachunki bieżące</w:t>
      </w:r>
      <w:r w:rsidRPr="0013082C">
        <w:rPr>
          <w:rFonts w:ascii="Times New Roman" w:hAnsi="Times New Roman" w:cs="Times New Roman"/>
          <w:sz w:val="24"/>
          <w:szCs w:val="24"/>
        </w:rPr>
        <w:t xml:space="preserve"> są to rachunki bankowe prowadzone w złotych, płatne na żądanie, służące do gromadzenia środków pieniężnych jednostki oraz przeprowadzenia rozliczeń związanych  </w:t>
      </w:r>
      <w:r w:rsidR="008E402C">
        <w:rPr>
          <w:rFonts w:ascii="Times New Roman" w:hAnsi="Times New Roman" w:cs="Times New Roman"/>
          <w:sz w:val="24"/>
          <w:szCs w:val="24"/>
        </w:rPr>
        <w:t xml:space="preserve">                         </w:t>
      </w:r>
      <w:r w:rsidRPr="0013082C">
        <w:rPr>
          <w:rFonts w:ascii="Times New Roman" w:hAnsi="Times New Roman" w:cs="Times New Roman"/>
          <w:sz w:val="24"/>
          <w:szCs w:val="24"/>
        </w:rPr>
        <w:t>z prowadzoną działalnością.</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Rachunki pomocnicze</w:t>
      </w:r>
      <w:r w:rsidRPr="0013082C">
        <w:rPr>
          <w:rFonts w:ascii="Times New Roman" w:hAnsi="Times New Roman" w:cs="Times New Roman"/>
          <w:sz w:val="24"/>
          <w:szCs w:val="24"/>
        </w:rPr>
        <w:t xml:space="preserve"> to rachunki bankowe służące do wyodrębnienia środków na określony cel (środki zakładowego funduszu świadczeń socjalnych, na realizację projektów z udziałem środków europejskich, przeznaczony do obsługi gospodarki odpadami, inne rachunki bankowe)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i przeprowadzenia  określonych rozliczeń pieniężnych.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3.</w:t>
      </w:r>
      <w:r w:rsidRPr="0013082C">
        <w:rPr>
          <w:rFonts w:ascii="Times New Roman" w:hAnsi="Times New Roman" w:cs="Times New Roman"/>
          <w:b/>
          <w:sz w:val="24"/>
          <w:szCs w:val="24"/>
        </w:rPr>
        <w:t xml:space="preserve">Inne środki pieniężne </w:t>
      </w:r>
      <w:r w:rsidRPr="0013082C">
        <w:rPr>
          <w:rFonts w:ascii="Times New Roman" w:hAnsi="Times New Roman" w:cs="Times New Roman"/>
          <w:sz w:val="24"/>
          <w:szCs w:val="24"/>
        </w:rPr>
        <w:t xml:space="preserve"> w jednostce to środki pieniężne w drodze.</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sz w:val="24"/>
          <w:szCs w:val="24"/>
        </w:rPr>
        <w:t>Metody wyceny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Środki pieniężne w kasie i na rachunkach bankowych wycenia się według wartości nominalnej.</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Walutę obcą na dzień bilansowy wycenia się według kursu średniego danej waluty ustalonego przez Prezesa NBP na ten dzień. W ciągu roku operacje sprzedaży i kupna walut oraz operacje zapłaty należności lub zobowiązań wycenia się po kursie kupna sprzedaży banku, z którego usług korzysta jednostka, lub według kursu waluty wynikającego z obowiązującego jednostkę dokumentu.</w:t>
      </w:r>
    </w:p>
    <w:p w:rsidR="0013082C" w:rsidRPr="0013082C" w:rsidRDefault="0013082C" w:rsidP="0013082C">
      <w:pPr>
        <w:jc w:val="center"/>
        <w:rPr>
          <w:rFonts w:ascii="Times New Roman" w:hAnsi="Times New Roman" w:cs="Times New Roman"/>
          <w:i/>
          <w:sz w:val="24"/>
          <w:szCs w:val="24"/>
        </w:rPr>
      </w:pPr>
      <w:r w:rsidRPr="0013082C">
        <w:rPr>
          <w:rFonts w:ascii="Times New Roman" w:hAnsi="Times New Roman" w:cs="Times New Roman"/>
          <w:b/>
          <w:i/>
          <w:sz w:val="24"/>
          <w:szCs w:val="24"/>
        </w:rPr>
        <w:t>Krótkoterminowe papiery wartościowe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Krótkoterminowe papiery wartościowe</w:t>
      </w:r>
      <w:r w:rsidRPr="0013082C">
        <w:rPr>
          <w:rFonts w:ascii="Times New Roman" w:hAnsi="Times New Roman" w:cs="Times New Roman"/>
          <w:sz w:val="24"/>
          <w:szCs w:val="24"/>
        </w:rPr>
        <w:t xml:space="preserve"> to aktywa finansowe nabyte w celu sprzedaży lub których termin wykupu jest krótszy od jednego roku od dnia bilansowego (akcje obce, obligacje obce, bony skarbowe i inne dłużne papiery wartościowe, m.in. weksle o terminie wykupu powyżej 3 miesięcy, a krótszym od 1 roku).</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Krótkoterminowe papiery wartościowe wycenia się na dzień bilansowy:</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w cenie nabycia lub cenie rynkowej, zależnie od tego, która z nich jest niższa.</w:t>
      </w:r>
    </w:p>
    <w:p w:rsidR="0013082C" w:rsidRPr="0013082C" w:rsidRDefault="0013082C" w:rsidP="0013082C">
      <w:pPr>
        <w:ind w:left="360"/>
        <w:jc w:val="both"/>
        <w:rPr>
          <w:rFonts w:ascii="Times New Roman" w:hAnsi="Times New Roman" w:cs="Times New Roman"/>
          <w:sz w:val="24"/>
          <w:szCs w:val="24"/>
        </w:rPr>
      </w:pPr>
    </w:p>
    <w:p w:rsidR="0013082C" w:rsidRPr="0013082C" w:rsidRDefault="0013082C" w:rsidP="0013082C">
      <w:pPr>
        <w:spacing w:line="360" w:lineRule="auto"/>
        <w:ind w:left="360"/>
        <w:jc w:val="center"/>
        <w:rPr>
          <w:rFonts w:ascii="Times New Roman" w:hAnsi="Times New Roman" w:cs="Times New Roman"/>
          <w:i/>
          <w:sz w:val="24"/>
          <w:szCs w:val="24"/>
        </w:rPr>
      </w:pPr>
      <w:r w:rsidRPr="0013082C">
        <w:rPr>
          <w:rFonts w:ascii="Times New Roman" w:hAnsi="Times New Roman" w:cs="Times New Roman"/>
          <w:b/>
          <w:i/>
          <w:sz w:val="24"/>
          <w:szCs w:val="24"/>
        </w:rPr>
        <w:t>Rozliczenia międzyokresowe</w:t>
      </w:r>
      <w:r w:rsidRPr="0013082C">
        <w:rPr>
          <w:rFonts w:ascii="Times New Roman" w:hAnsi="Times New Roman" w:cs="Times New Roman"/>
          <w:i/>
          <w:sz w:val="24"/>
          <w:szCs w:val="24"/>
        </w:rPr>
        <w:t xml:space="preserve"> </w:t>
      </w:r>
      <w:r w:rsidRPr="0013082C">
        <w:rPr>
          <w:rFonts w:ascii="Times New Roman" w:hAnsi="Times New Roman" w:cs="Times New Roman"/>
          <w:b/>
          <w:i/>
          <w:sz w:val="24"/>
          <w:szCs w:val="24"/>
        </w:rPr>
        <w:t>czynne kosztów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Rozliczenia międzyokresowe</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czynne kosztów</w:t>
      </w:r>
      <w:r w:rsidRPr="0013082C">
        <w:rPr>
          <w:rFonts w:ascii="Times New Roman" w:hAnsi="Times New Roman" w:cs="Times New Roman"/>
          <w:sz w:val="24"/>
          <w:szCs w:val="24"/>
        </w:rPr>
        <w:t xml:space="preserve"> to koszty poniesione, ale dotyczące przyszłych okresów sprawozdawczych. Ich wycena bilansowa  przebiega na poziomie wartości nominalnej.</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W jednostce rozliczenia międzyokresowe czynne</w:t>
      </w:r>
      <w:r w:rsidRPr="0013082C">
        <w:rPr>
          <w:rFonts w:ascii="Times New Roman" w:hAnsi="Times New Roman" w:cs="Times New Roman"/>
          <w:sz w:val="24"/>
          <w:szCs w:val="24"/>
        </w:rPr>
        <w:t>:</w:t>
      </w:r>
    </w:p>
    <w:p w:rsidR="0013082C" w:rsidRPr="0013082C" w:rsidRDefault="0013082C" w:rsidP="0013082C">
      <w:pPr>
        <w:numPr>
          <w:ilvl w:val="0"/>
          <w:numId w:val="12"/>
        </w:numPr>
        <w:spacing w:after="0" w:line="240" w:lineRule="auto"/>
        <w:jc w:val="both"/>
        <w:rPr>
          <w:rFonts w:ascii="Times New Roman" w:hAnsi="Times New Roman" w:cs="Times New Roman"/>
          <w:b/>
          <w:sz w:val="24"/>
          <w:szCs w:val="24"/>
        </w:rPr>
      </w:pPr>
      <w:r w:rsidRPr="0013082C">
        <w:rPr>
          <w:rFonts w:ascii="Times New Roman" w:hAnsi="Times New Roman" w:cs="Times New Roman"/>
          <w:b/>
          <w:sz w:val="24"/>
          <w:szCs w:val="24"/>
        </w:rPr>
        <w:t>mają nieistotną  wartość i dlatego nie są rozliczane w czasie, lecz od razu powiększają koszty działalności.</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jc w:val="both"/>
        <w:rPr>
          <w:rFonts w:ascii="Times New Roman" w:hAnsi="Times New Roman" w:cs="Times New Roman"/>
          <w:i/>
          <w:sz w:val="24"/>
          <w:szCs w:val="24"/>
        </w:rPr>
      </w:pPr>
      <w:r w:rsidRPr="0013082C">
        <w:rPr>
          <w:rFonts w:ascii="Times New Roman" w:hAnsi="Times New Roman" w:cs="Times New Roman"/>
          <w:b/>
          <w:i/>
          <w:sz w:val="24"/>
          <w:szCs w:val="24"/>
        </w:rPr>
        <w:t>Pasywa (fundusze) jednostki</w:t>
      </w:r>
      <w:r w:rsidRPr="0013082C">
        <w:rPr>
          <w:rFonts w:ascii="Times New Roman" w:hAnsi="Times New Roman" w:cs="Times New Roman"/>
          <w:sz w:val="24"/>
          <w:szCs w:val="24"/>
        </w:rPr>
        <w:t xml:space="preserve"> </w:t>
      </w:r>
      <w:r w:rsidRPr="0013082C">
        <w:rPr>
          <w:rFonts w:ascii="Times New Roman" w:hAnsi="Times New Roman" w:cs="Times New Roman"/>
          <w:i/>
          <w:sz w:val="24"/>
          <w:szCs w:val="24"/>
        </w:rPr>
        <w:t>wyrażają źródło finansowania aktywów. Główne składniki pasywów występujące w jednostce i wynikające z wzoru bilansowego to:</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Fundusz jednostki,</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Wynik finansowy,</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Fundusze specjalne,</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Zobowiązania długoterminowe i zobowiązania krótkoterminowe,</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Fundusze specjalne – Zakładowy  Fundusz Świadczeń   Socjalnych,</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Rozliczenia międzyokresowe przychodów.</w:t>
      </w:r>
    </w:p>
    <w:p w:rsidR="0013082C" w:rsidRPr="0013082C" w:rsidRDefault="0013082C" w:rsidP="0013082C">
      <w:pPr>
        <w:spacing w:line="360" w:lineRule="auto"/>
        <w:jc w:val="both"/>
        <w:rPr>
          <w:rFonts w:ascii="Times New Roman" w:hAnsi="Times New Roman" w:cs="Times New Roman"/>
          <w:sz w:val="24"/>
          <w:szCs w:val="24"/>
        </w:rPr>
      </w:pPr>
    </w:p>
    <w:p w:rsidR="0013082C" w:rsidRPr="0013082C" w:rsidRDefault="0013082C" w:rsidP="0013082C">
      <w:pPr>
        <w:spacing w:line="360" w:lineRule="auto"/>
        <w:jc w:val="center"/>
        <w:rPr>
          <w:rFonts w:ascii="Times New Roman" w:hAnsi="Times New Roman" w:cs="Times New Roman"/>
          <w:b/>
          <w:sz w:val="24"/>
          <w:szCs w:val="24"/>
        </w:rPr>
      </w:pPr>
      <w:r w:rsidRPr="0013082C">
        <w:rPr>
          <w:rFonts w:ascii="Times New Roman" w:hAnsi="Times New Roman" w:cs="Times New Roman"/>
          <w:b/>
          <w:i/>
          <w:sz w:val="24"/>
          <w:szCs w:val="24"/>
        </w:rPr>
        <w:t>Fundusz jednostki</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Fundusz jednostki</w:t>
      </w:r>
      <w:r w:rsidRPr="0013082C">
        <w:rPr>
          <w:rFonts w:ascii="Times New Roman" w:hAnsi="Times New Roman" w:cs="Times New Roman"/>
          <w:sz w:val="24"/>
          <w:szCs w:val="24"/>
        </w:rPr>
        <w:t xml:space="preserve"> jest równowartością majątku trwałego i obrotowego jednostki. Jednostka ujmuje w księgach rachunkowych fundusze w wartości nominalnej i wartość funduszu powinna wynikać wprost </w:t>
      </w:r>
      <w:r w:rsidRPr="0013082C">
        <w:rPr>
          <w:rFonts w:ascii="Times New Roman" w:hAnsi="Times New Roman" w:cs="Times New Roman"/>
          <w:b/>
          <w:sz w:val="24"/>
          <w:szCs w:val="24"/>
        </w:rPr>
        <w:t>z salda konta 800 „Fundusz jednostki”.</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Wszelkie zmiany funduszu, z tytułów określonych w przepisach regulujących zasady gospodarki finansowej, księguje się odpowiednio</w:t>
      </w:r>
      <w:r w:rsidRPr="0013082C">
        <w:rPr>
          <w:rFonts w:ascii="Times New Roman" w:hAnsi="Times New Roman" w:cs="Times New Roman"/>
          <w:b/>
          <w:sz w:val="24"/>
          <w:szCs w:val="24"/>
        </w:rPr>
        <w:t xml:space="preserve"> – zmniejszenia na stronie Wn,</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a zwiększenia na stronie Ma konta 800.</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Fundusz jednostki korygowany jest o wynik finansowy netto.</w:t>
      </w:r>
    </w:p>
    <w:p w:rsidR="0013082C" w:rsidRPr="0013082C" w:rsidRDefault="0013082C" w:rsidP="0013082C">
      <w:pPr>
        <w:jc w:val="both"/>
        <w:rPr>
          <w:rFonts w:ascii="Times New Roman" w:hAnsi="Times New Roman" w:cs="Times New Roman"/>
          <w:sz w:val="24"/>
          <w:szCs w:val="24"/>
        </w:rPr>
      </w:pPr>
    </w:p>
    <w:p w:rsidR="0013082C" w:rsidRPr="0013082C" w:rsidRDefault="0013082C" w:rsidP="0013082C">
      <w:pPr>
        <w:jc w:val="center"/>
        <w:rPr>
          <w:rFonts w:ascii="Times New Roman" w:hAnsi="Times New Roman" w:cs="Times New Roman"/>
          <w:b/>
          <w:sz w:val="24"/>
          <w:szCs w:val="24"/>
        </w:rPr>
      </w:pPr>
      <w:r w:rsidRPr="0013082C">
        <w:rPr>
          <w:rFonts w:ascii="Times New Roman" w:hAnsi="Times New Roman" w:cs="Times New Roman"/>
          <w:b/>
          <w:sz w:val="24"/>
          <w:szCs w:val="24"/>
        </w:rPr>
        <w:t>Wycena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Fundusz jednostki wyceniany jest na dzień bilansowy w wartości nominalnej.</w:t>
      </w:r>
    </w:p>
    <w:p w:rsidR="0013082C" w:rsidRPr="0013082C" w:rsidRDefault="0013082C" w:rsidP="0013082C">
      <w:pPr>
        <w:jc w:val="center"/>
        <w:rPr>
          <w:rFonts w:ascii="Times New Roman" w:hAnsi="Times New Roman" w:cs="Times New Roman"/>
          <w:b/>
          <w:i/>
          <w:sz w:val="24"/>
          <w:szCs w:val="24"/>
        </w:rPr>
      </w:pPr>
      <w:r w:rsidRPr="0013082C">
        <w:rPr>
          <w:rFonts w:ascii="Times New Roman" w:hAnsi="Times New Roman" w:cs="Times New Roman"/>
          <w:b/>
          <w:i/>
          <w:sz w:val="24"/>
          <w:szCs w:val="24"/>
        </w:rPr>
        <w:t>Fundusze specjalne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Fundusze specjalne </w:t>
      </w:r>
      <w:r w:rsidRPr="0013082C">
        <w:rPr>
          <w:rFonts w:ascii="Times New Roman" w:hAnsi="Times New Roman" w:cs="Times New Roman"/>
          <w:sz w:val="24"/>
          <w:szCs w:val="24"/>
        </w:rPr>
        <w:t>stanowią równowartość środków na sfinansowanie zadań specjalnych,</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jednostce funkcjonuje:</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zakładowy fundusz świadczeń socjalnych.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Funkcjonujący na podstawie ustawy o  zakładowym funduszu świadczeń socjalnych.</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Zakładowy Fundusz Świadczeń Socjalnych tworzony jest w ciężar kosztów jednorazowo                w formie rocznego odpisu podstawowego, naliczonego nie później niż w pierwszym kwartale roku kalendarzowego, w stosunku do przeciętnej liczby zatrudnionych. </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Źródłem tworzenia zakładowego funduszu świadczeń socjalnych jest;</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Odpis (coroczny) obciążający koszty działalności jednostki,</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Odsetki bankowe naliczane od stanu środków na rachunku bankowym,</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Odsetki od udzielonych pożyczek na cele mieszkaniowe,</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Dobrowolnych wpłat i darowizn oraz zapisów osób fizycznych i prawnych (przeznaczonych przez dawców na ten fundusz),</w:t>
      </w:r>
    </w:p>
    <w:p w:rsidR="0013082C" w:rsidRPr="0013082C" w:rsidRDefault="0013082C" w:rsidP="0013082C">
      <w:pPr>
        <w:numPr>
          <w:ilvl w:val="0"/>
          <w:numId w:val="13"/>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Opłat osób i jednostek organizacyjnych korzystających z zakładowej działalności socjalnej.</w:t>
      </w:r>
    </w:p>
    <w:p w:rsidR="0013082C" w:rsidRPr="0013082C" w:rsidRDefault="0013082C" w:rsidP="0013082C">
      <w:pPr>
        <w:ind w:left="360"/>
        <w:jc w:val="both"/>
        <w:rPr>
          <w:rFonts w:ascii="Times New Roman" w:hAnsi="Times New Roman" w:cs="Times New Roman"/>
          <w:sz w:val="24"/>
          <w:szCs w:val="24"/>
        </w:rPr>
      </w:pPr>
    </w:p>
    <w:p w:rsidR="0013082C" w:rsidRPr="0013082C" w:rsidRDefault="0013082C" w:rsidP="0013082C">
      <w:pPr>
        <w:jc w:val="center"/>
        <w:rPr>
          <w:rFonts w:ascii="Times New Roman" w:hAnsi="Times New Roman" w:cs="Times New Roman"/>
          <w:b/>
          <w:sz w:val="24"/>
          <w:szCs w:val="24"/>
        </w:rPr>
      </w:pPr>
      <w:r w:rsidRPr="0013082C">
        <w:rPr>
          <w:rFonts w:ascii="Times New Roman" w:hAnsi="Times New Roman" w:cs="Times New Roman"/>
          <w:b/>
          <w:sz w:val="24"/>
          <w:szCs w:val="24"/>
        </w:rPr>
        <w:t>Wycena</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Na dzień bilansowy fundusz wyceniany jest w wartości nominalnej.</w:t>
      </w:r>
    </w:p>
    <w:p w:rsidR="0013082C" w:rsidRPr="0013082C" w:rsidRDefault="0013082C" w:rsidP="0013082C">
      <w:pPr>
        <w:ind w:left="1080"/>
        <w:jc w:val="center"/>
        <w:rPr>
          <w:rFonts w:ascii="Times New Roman" w:hAnsi="Times New Roman" w:cs="Times New Roman"/>
          <w:b/>
          <w:i/>
          <w:sz w:val="24"/>
          <w:szCs w:val="24"/>
        </w:rPr>
      </w:pPr>
      <w:r w:rsidRPr="0013082C">
        <w:rPr>
          <w:rFonts w:ascii="Times New Roman" w:hAnsi="Times New Roman" w:cs="Times New Roman"/>
          <w:b/>
          <w:i/>
          <w:sz w:val="24"/>
          <w:szCs w:val="24"/>
        </w:rPr>
        <w:t>Zobowiązania długoterminowe i krótkoterminowe</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Zobowiązania z tytułu dostaw  i usług wycenia się w kwocie wymagającej zapłaty, czyli łącznie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z odsetkami naliczonymi na podstawie not odsetkowych otrzymanych od kontrahentów.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Zobowiązania na dzień ich powstania w ewidencji ujmuje się w wartości nominalnej, natomiast na dzień bilansowy wycenia się w kwocie wymagającej zapłaty.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 xml:space="preserve">Zobowiązania finansowe </w:t>
      </w:r>
      <w:r w:rsidRPr="0013082C">
        <w:rPr>
          <w:rFonts w:ascii="Times New Roman" w:hAnsi="Times New Roman" w:cs="Times New Roman"/>
          <w:sz w:val="24"/>
          <w:szCs w:val="24"/>
        </w:rPr>
        <w:t xml:space="preserve">występujące w jednostce samorządu terytorialnego – </w:t>
      </w:r>
      <w:r w:rsidRPr="0013082C">
        <w:rPr>
          <w:rFonts w:ascii="Times New Roman" w:hAnsi="Times New Roman" w:cs="Times New Roman"/>
          <w:b/>
          <w:sz w:val="24"/>
          <w:szCs w:val="24"/>
        </w:rPr>
        <w:t>gminie</w:t>
      </w:r>
      <w:r w:rsidR="00220251">
        <w:rPr>
          <w:rFonts w:ascii="Times New Roman" w:hAnsi="Times New Roman" w:cs="Times New Roman"/>
          <w:b/>
          <w:sz w:val="24"/>
          <w:szCs w:val="24"/>
        </w:rPr>
        <w:t xml:space="preserve"> </w:t>
      </w:r>
      <w:r w:rsidRPr="0013082C">
        <w:rPr>
          <w:rFonts w:ascii="Times New Roman" w:hAnsi="Times New Roman" w:cs="Times New Roman"/>
          <w:b/>
          <w:sz w:val="24"/>
          <w:szCs w:val="24"/>
        </w:rPr>
        <w:t xml:space="preserve">                </w:t>
      </w:r>
      <w:r w:rsidRPr="0013082C">
        <w:rPr>
          <w:rFonts w:ascii="Times New Roman" w:hAnsi="Times New Roman" w:cs="Times New Roman"/>
          <w:sz w:val="24"/>
          <w:szCs w:val="24"/>
        </w:rPr>
        <w:t xml:space="preserve"> w wartości emisyjnej powiększonej o narosłe kwoty z tytułu oprocentowania.</w:t>
      </w:r>
    </w:p>
    <w:p w:rsidR="0013082C" w:rsidRPr="0013082C" w:rsidRDefault="0013082C" w:rsidP="0013082C">
      <w:pPr>
        <w:jc w:val="center"/>
        <w:rPr>
          <w:rFonts w:ascii="Times New Roman" w:hAnsi="Times New Roman" w:cs="Times New Roman"/>
          <w:b/>
          <w:i/>
          <w:sz w:val="24"/>
          <w:szCs w:val="24"/>
        </w:rPr>
      </w:pPr>
    </w:p>
    <w:p w:rsidR="0013082C" w:rsidRPr="0013082C" w:rsidRDefault="0013082C" w:rsidP="0013082C">
      <w:pPr>
        <w:jc w:val="center"/>
        <w:rPr>
          <w:rFonts w:ascii="Times New Roman" w:hAnsi="Times New Roman" w:cs="Times New Roman"/>
          <w:b/>
          <w:i/>
          <w:sz w:val="24"/>
          <w:szCs w:val="24"/>
        </w:rPr>
      </w:pPr>
      <w:r w:rsidRPr="0013082C">
        <w:rPr>
          <w:rFonts w:ascii="Times New Roman" w:hAnsi="Times New Roman" w:cs="Times New Roman"/>
          <w:b/>
          <w:i/>
          <w:sz w:val="24"/>
          <w:szCs w:val="24"/>
        </w:rPr>
        <w:t>Rozliczenia międzyokresowe przychodów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Rozliczenia międzyokresowe</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 xml:space="preserve"> przychodów</w:t>
      </w:r>
      <w:r w:rsidRPr="0013082C">
        <w:rPr>
          <w:rFonts w:ascii="Times New Roman" w:hAnsi="Times New Roman" w:cs="Times New Roman"/>
          <w:sz w:val="24"/>
          <w:szCs w:val="24"/>
        </w:rPr>
        <w:t xml:space="preserve"> występujące po stronie pasywów w jednostce to przychody przyszłych okresów, które występują w jednostce z tytułu:</w:t>
      </w:r>
    </w:p>
    <w:p w:rsidR="0013082C" w:rsidRPr="0013082C" w:rsidRDefault="0013082C" w:rsidP="0013082C">
      <w:pPr>
        <w:numPr>
          <w:ilvl w:val="0"/>
          <w:numId w:val="14"/>
        </w:numPr>
        <w:spacing w:after="0" w:line="240" w:lineRule="auto"/>
        <w:jc w:val="both"/>
        <w:rPr>
          <w:rFonts w:ascii="Times New Roman" w:hAnsi="Times New Roman" w:cs="Times New Roman"/>
          <w:b/>
          <w:sz w:val="24"/>
          <w:szCs w:val="24"/>
        </w:rPr>
      </w:pPr>
      <w:r w:rsidRPr="0013082C">
        <w:rPr>
          <w:rFonts w:ascii="Times New Roman" w:hAnsi="Times New Roman" w:cs="Times New Roman"/>
          <w:b/>
          <w:sz w:val="24"/>
          <w:szCs w:val="24"/>
        </w:rPr>
        <w:t>Długoterminowych należności z tytułu dochodów budżetowych.</w:t>
      </w:r>
    </w:p>
    <w:p w:rsidR="0013082C" w:rsidRPr="0013082C" w:rsidRDefault="0013082C" w:rsidP="0013082C">
      <w:pPr>
        <w:ind w:left="360"/>
        <w:jc w:val="both"/>
        <w:rPr>
          <w:rFonts w:ascii="Times New Roman" w:hAnsi="Times New Roman" w:cs="Times New Roman"/>
          <w:b/>
          <w:sz w:val="24"/>
          <w:szCs w:val="24"/>
        </w:rPr>
      </w:pP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Należności długoterminowe to należności, których termin płatności przypada na następny rok budżetowy i lata kolejne.</w:t>
      </w:r>
    </w:p>
    <w:p w:rsidR="0013082C" w:rsidRPr="0013082C" w:rsidRDefault="0013082C" w:rsidP="0013082C">
      <w:pPr>
        <w:jc w:val="center"/>
        <w:rPr>
          <w:rFonts w:ascii="Times New Roman" w:hAnsi="Times New Roman" w:cs="Times New Roman"/>
          <w:b/>
          <w:i/>
          <w:sz w:val="24"/>
          <w:szCs w:val="24"/>
        </w:rPr>
      </w:pPr>
      <w:r w:rsidRPr="0013082C">
        <w:rPr>
          <w:rFonts w:ascii="Times New Roman" w:hAnsi="Times New Roman" w:cs="Times New Roman"/>
          <w:b/>
          <w:i/>
          <w:sz w:val="24"/>
          <w:szCs w:val="24"/>
        </w:rPr>
        <w:t>Wynik finansowy</w:t>
      </w:r>
    </w:p>
    <w:p w:rsidR="0013082C" w:rsidRPr="0013082C" w:rsidRDefault="0013082C" w:rsidP="0013082C">
      <w:pPr>
        <w:rPr>
          <w:rFonts w:ascii="Times New Roman" w:hAnsi="Times New Roman" w:cs="Times New Roman"/>
          <w:b/>
          <w:sz w:val="24"/>
          <w:szCs w:val="24"/>
        </w:rPr>
      </w:pPr>
      <w:r w:rsidRPr="0013082C">
        <w:rPr>
          <w:rFonts w:ascii="Times New Roman" w:hAnsi="Times New Roman" w:cs="Times New Roman"/>
          <w:b/>
          <w:sz w:val="24"/>
          <w:szCs w:val="24"/>
        </w:rPr>
        <w:t>Ustalanie wyniku finansowego</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1. W jednostce budżetowej – urzędzie gminy</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Wynik finansowy jednostki</w:t>
      </w:r>
      <w:r w:rsidRPr="0013082C">
        <w:rPr>
          <w:rFonts w:ascii="Times New Roman" w:hAnsi="Times New Roman" w:cs="Times New Roman"/>
          <w:sz w:val="24"/>
          <w:szCs w:val="24"/>
        </w:rPr>
        <w:t xml:space="preserve"> ustalany jest zgodnie z wariantem porównawczym rachunku zysków </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i strat na </w:t>
      </w:r>
      <w:r w:rsidRPr="0013082C">
        <w:rPr>
          <w:rFonts w:ascii="Times New Roman" w:hAnsi="Times New Roman" w:cs="Times New Roman"/>
          <w:b/>
          <w:sz w:val="24"/>
          <w:szCs w:val="24"/>
        </w:rPr>
        <w:t>koncie 860 „ Wynik finansowy”</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Ewidencja kosztów działalności podstawowej prowadzona jest w zespole 4  kont, tj. według rodzaju kosztów i jednocześnie w podziałkach klasyfikacji budżetowej wydatków.</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Na wynik finansowy netto</w:t>
      </w:r>
      <w:r w:rsidRPr="0013082C">
        <w:rPr>
          <w:rFonts w:ascii="Times New Roman" w:hAnsi="Times New Roman" w:cs="Times New Roman"/>
          <w:sz w:val="24"/>
          <w:szCs w:val="24"/>
        </w:rPr>
        <w:t xml:space="preserve"> zgodnie z rachunkiem zysków składa się:</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wynik ze sprzedaży,</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wynik z działalności operacyjnej,</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 xml:space="preserve">wynik z działalności gospodarczej, </w:t>
      </w:r>
    </w:p>
    <w:p w:rsidR="0013082C" w:rsidRPr="0013082C" w:rsidRDefault="0013082C" w:rsidP="0013082C">
      <w:pPr>
        <w:numPr>
          <w:ilvl w:val="0"/>
          <w:numId w:val="12"/>
        </w:numPr>
        <w:spacing w:after="0" w:line="240" w:lineRule="auto"/>
        <w:jc w:val="both"/>
        <w:rPr>
          <w:rFonts w:ascii="Times New Roman" w:hAnsi="Times New Roman" w:cs="Times New Roman"/>
          <w:sz w:val="24"/>
          <w:szCs w:val="24"/>
        </w:rPr>
      </w:pPr>
      <w:r w:rsidRPr="0013082C">
        <w:rPr>
          <w:rFonts w:ascii="Times New Roman" w:hAnsi="Times New Roman" w:cs="Times New Roman"/>
          <w:sz w:val="24"/>
          <w:szCs w:val="24"/>
        </w:rPr>
        <w:t>wynik brutto.</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W roku następnym pod datą przyjęcia sprawozdania finansowego </w:t>
      </w:r>
      <w:r w:rsidRPr="0013082C">
        <w:rPr>
          <w:rFonts w:ascii="Times New Roman" w:hAnsi="Times New Roman" w:cs="Times New Roman"/>
          <w:b/>
          <w:sz w:val="24"/>
          <w:szCs w:val="24"/>
        </w:rPr>
        <w:t>saldo konta 860</w:t>
      </w:r>
      <w:r w:rsidRPr="0013082C">
        <w:rPr>
          <w:rFonts w:ascii="Times New Roman" w:hAnsi="Times New Roman" w:cs="Times New Roman"/>
          <w:sz w:val="24"/>
          <w:szCs w:val="24"/>
        </w:rPr>
        <w:t xml:space="preserve"> przeksięgowuje się na konto </w:t>
      </w:r>
      <w:r w:rsidRPr="0013082C">
        <w:rPr>
          <w:rFonts w:ascii="Times New Roman" w:hAnsi="Times New Roman" w:cs="Times New Roman"/>
          <w:b/>
          <w:sz w:val="24"/>
          <w:szCs w:val="24"/>
        </w:rPr>
        <w:t>800 „Fundusz jednostki”.</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b/>
          <w:sz w:val="24"/>
          <w:szCs w:val="24"/>
        </w:rPr>
        <w:t xml:space="preserve">2. W jednostce samorządu terytorialnego (organie finansowym) – gminie </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b/>
          <w:sz w:val="24"/>
          <w:szCs w:val="24"/>
        </w:rPr>
        <w:t>Wynik z wykonania budżetu</w:t>
      </w:r>
      <w:r w:rsidRPr="0013082C">
        <w:rPr>
          <w:rFonts w:ascii="Times New Roman" w:hAnsi="Times New Roman" w:cs="Times New Roman"/>
          <w:sz w:val="24"/>
          <w:szCs w:val="24"/>
        </w:rPr>
        <w:t xml:space="preserve"> jednostki samorządu terytorialnego (niedobór lub nadwyżka budżetu) wykazywany w bilansie z wykonania budżetu ustalany jest na </w:t>
      </w:r>
      <w:r w:rsidRPr="0013082C">
        <w:rPr>
          <w:rFonts w:ascii="Times New Roman" w:hAnsi="Times New Roman" w:cs="Times New Roman"/>
          <w:b/>
          <w:sz w:val="24"/>
          <w:szCs w:val="24"/>
        </w:rPr>
        <w:t>koncie 961 „Wynik</w:t>
      </w:r>
      <w:r w:rsidRPr="0013082C">
        <w:rPr>
          <w:rFonts w:ascii="Times New Roman" w:hAnsi="Times New Roman" w:cs="Times New Roman"/>
          <w:sz w:val="24"/>
          <w:szCs w:val="24"/>
        </w:rPr>
        <w:t xml:space="preserve"> </w:t>
      </w:r>
      <w:r w:rsidRPr="0013082C">
        <w:rPr>
          <w:rFonts w:ascii="Times New Roman" w:hAnsi="Times New Roman" w:cs="Times New Roman"/>
          <w:b/>
          <w:sz w:val="24"/>
          <w:szCs w:val="24"/>
        </w:rPr>
        <w:t>wykonania budżetu”</w:t>
      </w:r>
      <w:r w:rsidRPr="0013082C">
        <w:rPr>
          <w:rFonts w:ascii="Times New Roman" w:hAnsi="Times New Roman" w:cs="Times New Roman"/>
          <w:sz w:val="24"/>
          <w:szCs w:val="24"/>
        </w:rPr>
        <w:t xml:space="preserve"> według zasady kasowej poprzez porównanie zrealizowanych w danym roku dochodów i wydatków budżetowych oraz wydatków niewykonanych niewygasających</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 xml:space="preserve">z końcem roku, ujmowanych na odrębnych kontach: </w:t>
      </w:r>
      <w:r w:rsidRPr="0013082C">
        <w:rPr>
          <w:rFonts w:ascii="Times New Roman" w:hAnsi="Times New Roman" w:cs="Times New Roman"/>
          <w:b/>
          <w:sz w:val="24"/>
          <w:szCs w:val="24"/>
        </w:rPr>
        <w:t>901 „Dochody budżetowe”, 902 „Wydatki budżetowe”</w:t>
      </w:r>
      <w:r w:rsidRPr="0013082C">
        <w:rPr>
          <w:rFonts w:ascii="Times New Roman" w:hAnsi="Times New Roman" w:cs="Times New Roman"/>
          <w:sz w:val="24"/>
          <w:szCs w:val="24"/>
        </w:rPr>
        <w:t xml:space="preserve"> oraz </w:t>
      </w:r>
      <w:r w:rsidRPr="0013082C">
        <w:rPr>
          <w:rFonts w:ascii="Times New Roman" w:hAnsi="Times New Roman" w:cs="Times New Roman"/>
          <w:b/>
          <w:sz w:val="24"/>
          <w:szCs w:val="24"/>
        </w:rPr>
        <w:t>903 „Niewykonane wydatki”,</w:t>
      </w:r>
      <w:r w:rsidRPr="0013082C">
        <w:rPr>
          <w:rFonts w:ascii="Times New Roman" w:hAnsi="Times New Roman" w:cs="Times New Roman"/>
          <w:sz w:val="24"/>
          <w:szCs w:val="24"/>
        </w:rPr>
        <w:t xml:space="preserve"> z wyjątkiem operacji szczególnych, określonych w odrębnych przepisach.</w:t>
      </w:r>
    </w:p>
    <w:p w:rsidR="0013082C" w:rsidRPr="0013082C" w:rsidRDefault="0013082C" w:rsidP="0013082C">
      <w:pPr>
        <w:jc w:val="both"/>
        <w:rPr>
          <w:rFonts w:ascii="Times New Roman" w:hAnsi="Times New Roman" w:cs="Times New Roman"/>
          <w:b/>
          <w:sz w:val="24"/>
          <w:szCs w:val="24"/>
        </w:rPr>
      </w:pPr>
      <w:r w:rsidRPr="0013082C">
        <w:rPr>
          <w:rFonts w:ascii="Times New Roman" w:hAnsi="Times New Roman" w:cs="Times New Roman"/>
          <w:sz w:val="24"/>
          <w:szCs w:val="24"/>
        </w:rPr>
        <w:t xml:space="preserve">Operacje wynikowe, które nie powodują zwiększenia wydatków i dochodów danego roku budżetowego (tzn. operacje niekasowe), dotyczące przychodów i kosztów finansowych oraz pozostałych przychodów i kosztów operacyjnych, ujmowane są na koncie </w:t>
      </w:r>
      <w:r w:rsidRPr="0013082C">
        <w:rPr>
          <w:rFonts w:ascii="Times New Roman" w:hAnsi="Times New Roman" w:cs="Times New Roman"/>
          <w:b/>
          <w:sz w:val="24"/>
          <w:szCs w:val="24"/>
        </w:rPr>
        <w:t>962 „Wynik na pozostałych operacjach</w:t>
      </w:r>
      <w:r w:rsidRPr="0013082C">
        <w:rPr>
          <w:rFonts w:ascii="Times New Roman" w:hAnsi="Times New Roman" w:cs="Times New Roman"/>
          <w:sz w:val="24"/>
          <w:szCs w:val="24"/>
        </w:rPr>
        <w:t xml:space="preserve">”. W roku następnym, po zatwierdzeniu sprawozdania budżetowego przez organ stanowiący (Radę Gminy), saldo tego konta przeksięgowywane jest na konto </w:t>
      </w:r>
      <w:r w:rsidRPr="0013082C">
        <w:rPr>
          <w:rFonts w:ascii="Times New Roman" w:hAnsi="Times New Roman" w:cs="Times New Roman"/>
          <w:b/>
          <w:sz w:val="24"/>
          <w:szCs w:val="24"/>
        </w:rPr>
        <w:t>960 „Skumulowane wyniki budżetu”.</w:t>
      </w:r>
    </w:p>
    <w:p w:rsidR="0013082C" w:rsidRPr="0013082C" w:rsidRDefault="0013082C" w:rsidP="0013082C">
      <w:pPr>
        <w:jc w:val="both"/>
        <w:rPr>
          <w:rFonts w:ascii="Times New Roman" w:hAnsi="Times New Roman" w:cs="Times New Roman"/>
          <w:sz w:val="24"/>
          <w:szCs w:val="24"/>
        </w:rPr>
      </w:pPr>
      <w:r w:rsidRPr="0013082C">
        <w:rPr>
          <w:rFonts w:ascii="Times New Roman" w:hAnsi="Times New Roman" w:cs="Times New Roman"/>
          <w:sz w:val="24"/>
          <w:szCs w:val="24"/>
        </w:rPr>
        <w:t xml:space="preserve">Wynik z wykonania budżetu wykazywany w sprawozdaniu budżetowym </w:t>
      </w:r>
      <w:r w:rsidRPr="0013082C">
        <w:rPr>
          <w:rFonts w:ascii="Times New Roman" w:hAnsi="Times New Roman" w:cs="Times New Roman"/>
          <w:b/>
          <w:sz w:val="24"/>
          <w:szCs w:val="24"/>
        </w:rPr>
        <w:t>Rb-NDS</w:t>
      </w:r>
      <w:r w:rsidRPr="0013082C">
        <w:rPr>
          <w:rFonts w:ascii="Times New Roman" w:hAnsi="Times New Roman" w:cs="Times New Roman"/>
          <w:sz w:val="24"/>
          <w:szCs w:val="24"/>
        </w:rPr>
        <w:t xml:space="preserve"> ustalany jest według przepisów rozporządzenia Ministra Finansów w sprawie sprawozdawczości budżetowej. Wykazywana w nim nadwyżka lub deficyt obejmuje dochody określone</w:t>
      </w:r>
      <w:r w:rsidR="00220251">
        <w:rPr>
          <w:rFonts w:ascii="Times New Roman" w:hAnsi="Times New Roman" w:cs="Times New Roman"/>
          <w:sz w:val="24"/>
          <w:szCs w:val="24"/>
        </w:rPr>
        <w:t xml:space="preserve"> </w:t>
      </w:r>
      <w:r w:rsidRPr="0013082C">
        <w:rPr>
          <w:rFonts w:ascii="Times New Roman" w:hAnsi="Times New Roman" w:cs="Times New Roman"/>
          <w:sz w:val="24"/>
          <w:szCs w:val="24"/>
        </w:rPr>
        <w:t>w ustawie o dochodach jednostek samorządu terytorialnego z uwzględnieniem środków funduszy pomocowych.</w:t>
      </w: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13082C" w:rsidRPr="0013082C" w:rsidRDefault="0013082C" w:rsidP="0013082C">
      <w:pPr>
        <w:rPr>
          <w:rFonts w:ascii="Times New Roman" w:hAnsi="Times New Roman" w:cs="Times New Roman"/>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13082C" w:rsidRPr="0013082C" w:rsidRDefault="0013082C" w:rsidP="0013082C">
      <w:pPr>
        <w:spacing w:line="360" w:lineRule="auto"/>
        <w:jc w:val="right"/>
        <w:rPr>
          <w:rFonts w:ascii="Times New Roman" w:hAnsi="Times New Roman" w:cs="Times New Roman"/>
          <w:b/>
          <w:sz w:val="24"/>
          <w:szCs w:val="24"/>
        </w:rPr>
      </w:pPr>
      <w:r w:rsidRPr="0013082C">
        <w:rPr>
          <w:rFonts w:ascii="Times New Roman" w:hAnsi="Times New Roman" w:cs="Times New Roman"/>
          <w:b/>
          <w:sz w:val="24"/>
          <w:szCs w:val="24"/>
        </w:rPr>
        <w:t>Załącznik nr 1</w:t>
      </w:r>
    </w:p>
    <w:p w:rsidR="0013082C" w:rsidRPr="0013082C" w:rsidRDefault="0013082C" w:rsidP="0013082C">
      <w:pPr>
        <w:jc w:val="both"/>
        <w:rPr>
          <w:rFonts w:ascii="Times New Roman" w:hAnsi="Times New Roman" w:cs="Times New Roman"/>
          <w:b/>
          <w:bCs/>
          <w:sz w:val="24"/>
          <w:szCs w:val="24"/>
        </w:rPr>
      </w:pPr>
      <w:r w:rsidRPr="0013082C">
        <w:rPr>
          <w:rFonts w:ascii="Times New Roman" w:hAnsi="Times New Roman" w:cs="Times New Roman"/>
          <w:b/>
          <w:bCs/>
          <w:sz w:val="24"/>
          <w:szCs w:val="24"/>
        </w:rPr>
        <w:t>do Dokumentu pn. – „Metody wyceny aktywów i pasywów oraz ustalania wyniku finansowego”</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Wykaz pozostałych środków trwałych (wyposażenia)  podlegających pozabilansowej ewidencji ilościowej o istotnym znaczeniu dla jednostki do wartości poniżej 500 zł                      o okresie używalności powyżej 12 miesięcy.</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(Wyposażenie o wartości poniżej 500 zł  w momencie zakupu traktowane jest jako materiały</w:t>
      </w:r>
      <w:r w:rsidR="009D4F70">
        <w:rPr>
          <w:rFonts w:ascii="Times New Roman" w:hAnsi="Times New Roman" w:cs="Times New Roman"/>
          <w:sz w:val="24"/>
          <w:szCs w:val="24"/>
        </w:rPr>
        <w:t xml:space="preserve">                     </w:t>
      </w:r>
      <w:r w:rsidRPr="0013082C">
        <w:rPr>
          <w:rFonts w:ascii="Times New Roman" w:hAnsi="Times New Roman" w:cs="Times New Roman"/>
          <w:sz w:val="24"/>
          <w:szCs w:val="24"/>
        </w:rPr>
        <w:t xml:space="preserve">i uważane jest za całkowicie zużyte w dniu wydania). </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1. Wyposażenie pomieszczeń biurowych:</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krzesła bez względu na wartość,</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aparaty telefoniczne (stacjonarne i komórkowe),</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maszyny do liczenia m.in. kalkulatory, ale tylko te  które mają nadany numer fabryczny,</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firany i inne osłony na okna,</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lampy,</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żyrandole,</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stojaki,</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apteczki,</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lustra,</w:t>
      </w:r>
    </w:p>
    <w:p w:rsidR="0013082C" w:rsidRPr="0013082C" w:rsidRDefault="0013082C" w:rsidP="0013082C">
      <w:pPr>
        <w:numPr>
          <w:ilvl w:val="0"/>
          <w:numId w:val="15"/>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szafki na klucze.</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2. Wyposażenie gospodarcze i sprzęt konserwatorski:</w:t>
      </w:r>
    </w:p>
    <w:p w:rsidR="0013082C" w:rsidRPr="0013082C" w:rsidRDefault="0013082C" w:rsidP="0013082C">
      <w:pPr>
        <w:numPr>
          <w:ilvl w:val="0"/>
          <w:numId w:val="16"/>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kosiarka elektryczna,</w:t>
      </w:r>
    </w:p>
    <w:p w:rsidR="0013082C" w:rsidRPr="0013082C" w:rsidRDefault="0013082C" w:rsidP="0013082C">
      <w:pPr>
        <w:numPr>
          <w:ilvl w:val="0"/>
          <w:numId w:val="16"/>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narzędzia,</w:t>
      </w:r>
    </w:p>
    <w:p w:rsidR="0013082C" w:rsidRPr="0013082C" w:rsidRDefault="0013082C" w:rsidP="0013082C">
      <w:pPr>
        <w:numPr>
          <w:ilvl w:val="0"/>
          <w:numId w:val="16"/>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kosa spalinowa,</w:t>
      </w:r>
    </w:p>
    <w:p w:rsidR="0013082C" w:rsidRPr="0013082C" w:rsidRDefault="0013082C" w:rsidP="0013082C">
      <w:pPr>
        <w:numPr>
          <w:ilvl w:val="0"/>
          <w:numId w:val="16"/>
        </w:numPr>
        <w:spacing w:after="0"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taczka.</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3. Zegary sterujące oświetlenie.</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4. Odzież i umundurowanie:</w:t>
      </w:r>
    </w:p>
    <w:p w:rsidR="0013082C" w:rsidRPr="0013082C" w:rsidRDefault="0013082C" w:rsidP="0013082C">
      <w:pPr>
        <w:numPr>
          <w:ilvl w:val="0"/>
          <w:numId w:val="17"/>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Ochotniczej Straży Pożarnej,</w:t>
      </w:r>
    </w:p>
    <w:p w:rsidR="0013082C" w:rsidRPr="0013082C" w:rsidRDefault="0013082C" w:rsidP="0013082C">
      <w:pPr>
        <w:numPr>
          <w:ilvl w:val="0"/>
          <w:numId w:val="17"/>
        </w:numPr>
        <w:spacing w:after="0" w:line="360" w:lineRule="auto"/>
        <w:jc w:val="both"/>
        <w:rPr>
          <w:rFonts w:ascii="Times New Roman" w:hAnsi="Times New Roman" w:cs="Times New Roman"/>
          <w:b/>
          <w:sz w:val="24"/>
          <w:szCs w:val="24"/>
        </w:rPr>
      </w:pPr>
      <w:r w:rsidRPr="0013082C">
        <w:rPr>
          <w:rFonts w:ascii="Times New Roman" w:hAnsi="Times New Roman" w:cs="Times New Roman"/>
          <w:bCs/>
          <w:sz w:val="24"/>
          <w:szCs w:val="24"/>
        </w:rPr>
        <w:t>k</w:t>
      </w:r>
      <w:r w:rsidRPr="0013082C">
        <w:rPr>
          <w:rFonts w:ascii="Times New Roman" w:hAnsi="Times New Roman" w:cs="Times New Roman"/>
          <w:sz w:val="24"/>
          <w:szCs w:val="24"/>
        </w:rPr>
        <w:t>ierownika USC,</w:t>
      </w:r>
    </w:p>
    <w:p w:rsidR="0013082C" w:rsidRPr="0013082C" w:rsidRDefault="0013082C" w:rsidP="0013082C">
      <w:pPr>
        <w:numPr>
          <w:ilvl w:val="0"/>
          <w:numId w:val="17"/>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 xml:space="preserve">pracowników obsługi </w:t>
      </w:r>
    </w:p>
    <w:p w:rsidR="0013082C" w:rsidRPr="0013082C" w:rsidRDefault="0013082C" w:rsidP="0013082C">
      <w:pPr>
        <w:numPr>
          <w:ilvl w:val="0"/>
          <w:numId w:val="17"/>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kierowcy</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Bez względu na wartość początkową pozabilansowej ewidencji ilościowej podlegają krzesła.</w:t>
      </w:r>
    </w:p>
    <w:p w:rsidR="0013082C" w:rsidRPr="0013082C" w:rsidRDefault="0013082C" w:rsidP="0013082C">
      <w:pPr>
        <w:spacing w:line="360" w:lineRule="auto"/>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13082C" w:rsidRPr="0013082C" w:rsidRDefault="0013082C" w:rsidP="0013082C">
      <w:pPr>
        <w:spacing w:line="360" w:lineRule="auto"/>
        <w:jc w:val="both"/>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13082C" w:rsidRPr="0013082C" w:rsidRDefault="0013082C" w:rsidP="0013082C">
      <w:pPr>
        <w:spacing w:line="360" w:lineRule="auto"/>
        <w:jc w:val="right"/>
        <w:rPr>
          <w:rFonts w:ascii="Times New Roman" w:hAnsi="Times New Roman" w:cs="Times New Roman"/>
          <w:b/>
          <w:sz w:val="24"/>
          <w:szCs w:val="24"/>
        </w:rPr>
      </w:pPr>
      <w:r w:rsidRPr="0013082C">
        <w:rPr>
          <w:rFonts w:ascii="Times New Roman" w:hAnsi="Times New Roman" w:cs="Times New Roman"/>
          <w:b/>
          <w:sz w:val="24"/>
          <w:szCs w:val="24"/>
        </w:rPr>
        <w:t>Załącznik nr 2</w:t>
      </w:r>
    </w:p>
    <w:p w:rsidR="0013082C" w:rsidRPr="0013082C" w:rsidRDefault="0013082C" w:rsidP="0013082C">
      <w:pPr>
        <w:spacing w:line="360" w:lineRule="auto"/>
        <w:jc w:val="both"/>
        <w:rPr>
          <w:rFonts w:ascii="Times New Roman" w:hAnsi="Times New Roman" w:cs="Times New Roman"/>
          <w:b/>
          <w:bCs/>
          <w:sz w:val="24"/>
          <w:szCs w:val="24"/>
        </w:rPr>
      </w:pPr>
      <w:r w:rsidRPr="0013082C">
        <w:rPr>
          <w:rFonts w:ascii="Times New Roman" w:hAnsi="Times New Roman" w:cs="Times New Roman"/>
          <w:b/>
          <w:bCs/>
          <w:sz w:val="24"/>
          <w:szCs w:val="24"/>
        </w:rPr>
        <w:t>do Dokumentu pn. – „Metody wyceny aktywów i pasywów oraz ustalania wyniku finansowego”</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Wykaz pozostałych środków trwałych (wyposażenia) niepodlegających analitycznej ewidencji księgowej i pozabilansowej ewidencji ilościowej o wartości poniżej 500 zł</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(traktowane są jako składniki majątku obrotowego – materiały i uznawane są za zużyte w dniu pobrania do używania)</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1. Drobne wyposażenie biurowe, gospodarcze i dekoracyjne:</w:t>
      </w:r>
    </w:p>
    <w:p w:rsidR="0013082C" w:rsidRPr="0013082C" w:rsidRDefault="0013082C" w:rsidP="0013082C">
      <w:pPr>
        <w:numPr>
          <w:ilvl w:val="0"/>
          <w:numId w:val="18"/>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Wyroby ze szkła i plastiku: wazony, doniczki, pojemniki, naczynia (szklanki, literatki, kubki, talerze, półmiski, miski, dzbanki, lampki, termosy, zestawy do kawy i herbaty, cukiernice), podstawki pod doniczki, czajniki elektryczne, kinkiety, lampki przykręcane do biurka itp.</w:t>
      </w:r>
    </w:p>
    <w:p w:rsidR="0013082C" w:rsidRPr="0013082C" w:rsidRDefault="0013082C" w:rsidP="0013082C">
      <w:pPr>
        <w:numPr>
          <w:ilvl w:val="0"/>
          <w:numId w:val="18"/>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wyroby lniane i stilonowe (obrusy, bieżniki, materiał dekoracyjny do pomieszczeń urzędu, itp.),</w:t>
      </w:r>
    </w:p>
    <w:p w:rsidR="0013082C" w:rsidRPr="0013082C" w:rsidRDefault="0013082C" w:rsidP="0013082C">
      <w:pPr>
        <w:numPr>
          <w:ilvl w:val="0"/>
          <w:numId w:val="18"/>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kwietniki, półko-kwietniki, oprawy do obrazów, antyramy, obrazy, dozowniki do mydło, kosze na śmieci, pojemniki na mydło, uchwyty do papieru toaletowego, wiadra, szczotki, mopy, zmiotki, szufelki  wieszaki na ręczniki, pojemniki na ręczniki papierowe, wieszaki łazienkowe, tablice informacyjne, kalendarze ścienne i stojące, blaty na biurka, pojemniki na przybory, rośliny ozdobne i inne ozdoby do pomieszczeń biurowych, apteczka, leki, dziurkacze, zszywacze, sztućce (noże, łyżeczki), itp.</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2. Drobny sprzęt konserwatorski:</w:t>
      </w:r>
    </w:p>
    <w:p w:rsidR="0013082C" w:rsidRPr="0013082C" w:rsidRDefault="0013082C" w:rsidP="0013082C">
      <w:pPr>
        <w:numPr>
          <w:ilvl w:val="0"/>
          <w:numId w:val="19"/>
        </w:numPr>
        <w:spacing w:after="0" w:line="360" w:lineRule="auto"/>
        <w:jc w:val="both"/>
        <w:rPr>
          <w:rFonts w:ascii="Times New Roman" w:hAnsi="Times New Roman" w:cs="Times New Roman"/>
          <w:b/>
          <w:sz w:val="24"/>
          <w:szCs w:val="24"/>
        </w:rPr>
      </w:pPr>
      <w:r w:rsidRPr="0013082C">
        <w:rPr>
          <w:rFonts w:ascii="Times New Roman" w:hAnsi="Times New Roman" w:cs="Times New Roman"/>
          <w:sz w:val="24"/>
          <w:szCs w:val="24"/>
        </w:rPr>
        <w:t>wiertła, pilniki do cięcia, sekatory, miary i suwmiarki, noże do szkła, grabie, łopaty, szpadle, pędzle do malowania, wałki malarskie, wiadra malarskie, klucze, latarki itp.</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3. Sprzęt elektryczny:</w:t>
      </w:r>
    </w:p>
    <w:p w:rsidR="0013082C" w:rsidRPr="0013082C" w:rsidRDefault="0013082C" w:rsidP="0013082C">
      <w:pPr>
        <w:numPr>
          <w:ilvl w:val="0"/>
          <w:numId w:val="19"/>
        </w:numPr>
        <w:spacing w:after="0" w:line="360" w:lineRule="auto"/>
        <w:jc w:val="both"/>
        <w:rPr>
          <w:rFonts w:ascii="Times New Roman" w:hAnsi="Times New Roman" w:cs="Times New Roman"/>
          <w:sz w:val="24"/>
          <w:szCs w:val="24"/>
        </w:rPr>
      </w:pPr>
      <w:r w:rsidRPr="0013082C">
        <w:rPr>
          <w:rFonts w:ascii="Times New Roman" w:hAnsi="Times New Roman" w:cs="Times New Roman"/>
          <w:sz w:val="24"/>
          <w:szCs w:val="24"/>
        </w:rPr>
        <w:t>przedłużacze, świetlówki, dzwonki, ozdoby i oświetlenia choinkowe, wtyczki, gniazdka, włączniki, kable, oprawy oświetleniowe itp.</w:t>
      </w:r>
    </w:p>
    <w:p w:rsidR="0013082C" w:rsidRPr="0013082C" w:rsidRDefault="0013082C" w:rsidP="0013082C">
      <w:pPr>
        <w:spacing w:line="360" w:lineRule="auto"/>
        <w:jc w:val="both"/>
        <w:rPr>
          <w:rFonts w:ascii="Times New Roman" w:hAnsi="Times New Roman" w:cs="Times New Roman"/>
          <w:sz w:val="24"/>
          <w:szCs w:val="24"/>
        </w:rPr>
      </w:pPr>
    </w:p>
    <w:p w:rsidR="00D50685" w:rsidRDefault="00D50685" w:rsidP="0013082C">
      <w:pPr>
        <w:spacing w:line="360" w:lineRule="auto"/>
        <w:jc w:val="right"/>
        <w:rPr>
          <w:rFonts w:ascii="Times New Roman" w:hAnsi="Times New Roman" w:cs="Times New Roman"/>
          <w:b/>
          <w:sz w:val="24"/>
          <w:szCs w:val="24"/>
        </w:rPr>
      </w:pPr>
    </w:p>
    <w:p w:rsidR="00D50685" w:rsidRDefault="00D50685" w:rsidP="0013082C">
      <w:pPr>
        <w:spacing w:line="360" w:lineRule="auto"/>
        <w:jc w:val="right"/>
        <w:rPr>
          <w:rFonts w:ascii="Times New Roman" w:hAnsi="Times New Roman" w:cs="Times New Roman"/>
          <w:b/>
          <w:sz w:val="24"/>
          <w:szCs w:val="24"/>
        </w:rPr>
      </w:pPr>
    </w:p>
    <w:p w:rsidR="0013082C" w:rsidRPr="0013082C" w:rsidRDefault="0013082C" w:rsidP="0013082C">
      <w:pPr>
        <w:spacing w:line="360" w:lineRule="auto"/>
        <w:jc w:val="right"/>
        <w:rPr>
          <w:rFonts w:ascii="Times New Roman" w:hAnsi="Times New Roman" w:cs="Times New Roman"/>
          <w:b/>
          <w:sz w:val="24"/>
          <w:szCs w:val="24"/>
        </w:rPr>
      </w:pPr>
      <w:r w:rsidRPr="0013082C">
        <w:rPr>
          <w:rFonts w:ascii="Times New Roman" w:hAnsi="Times New Roman" w:cs="Times New Roman"/>
          <w:b/>
          <w:sz w:val="24"/>
          <w:szCs w:val="24"/>
        </w:rPr>
        <w:t>Załącznik nr 3</w:t>
      </w:r>
    </w:p>
    <w:p w:rsidR="0013082C" w:rsidRPr="0013082C" w:rsidRDefault="0013082C" w:rsidP="0013082C">
      <w:pPr>
        <w:spacing w:line="360" w:lineRule="auto"/>
        <w:jc w:val="both"/>
        <w:rPr>
          <w:rFonts w:ascii="Times New Roman" w:hAnsi="Times New Roman" w:cs="Times New Roman"/>
          <w:b/>
          <w:bCs/>
          <w:sz w:val="24"/>
          <w:szCs w:val="24"/>
        </w:rPr>
      </w:pPr>
      <w:r w:rsidRPr="0013082C">
        <w:rPr>
          <w:rFonts w:ascii="Times New Roman" w:hAnsi="Times New Roman" w:cs="Times New Roman"/>
          <w:b/>
          <w:bCs/>
          <w:sz w:val="24"/>
          <w:szCs w:val="24"/>
        </w:rPr>
        <w:t>do dokumentu pn. – „Metody wyceny aktywów i pasywów oraz ustalania wyniku finansowego”</w:t>
      </w:r>
    </w:p>
    <w:p w:rsidR="0013082C" w:rsidRPr="0013082C" w:rsidRDefault="0013082C" w:rsidP="0013082C">
      <w:pPr>
        <w:spacing w:line="360" w:lineRule="auto"/>
        <w:jc w:val="both"/>
        <w:rPr>
          <w:rFonts w:ascii="Times New Roman" w:hAnsi="Times New Roman" w:cs="Times New Roman"/>
          <w:b/>
          <w:sz w:val="24"/>
          <w:szCs w:val="24"/>
        </w:rPr>
      </w:pPr>
      <w:r w:rsidRPr="0013082C">
        <w:rPr>
          <w:rFonts w:ascii="Times New Roman" w:hAnsi="Times New Roman" w:cs="Times New Roman"/>
          <w:b/>
          <w:sz w:val="24"/>
          <w:szCs w:val="24"/>
        </w:rPr>
        <w:t>Wykaz materiałów odpisywanych bezpośrednio w koszty w momencie zakupu.</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1. Paliwo, olej  do samochodów specjalistycznych OSP i innych samochodów służbowych.</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2. Materiały zakupione do bieżących remontów i konserwacji:  tonery do kserokopiarek, tusze i tonery do drukarek, materiały malarskie i murarskie, materiały hydrauliczno – sanitarne, stolarskie, budowlane, dekarskie, konserwacyjne, części do maszyn i urządzeń, itp.</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3. Środki czystości i bhp oraz materiały higieniczne.</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4. Wyposażenie apteczek.</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5. Czasopisma i wydawnictwa fachowe.</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6. Materiały biurowe: spinacze, zszywacze i zszywki, papier do kserokopiarek, papier kancelaryjny, ołówki, gumki, długopisy, pióra, wkłady, koperty, bibuły, kalki, folie samoprzylepne, materiały do wykonywania dekoracji okolicznościowych i innych, notesy, taśmy, zakreślacie, mazaki, linijki, nożyczki, segregatory, skoroszyty, obwoluty, oprawy do bindowania, dziurkacze, korektory, tusze, druki, formularze, kalendarze biurowe, notesy, itp.</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 xml:space="preserve">7. Napoje, herbaty, kawy i artykuły spożywcze zakupione na potrzeby Rady Gminy, Komisji Rady Gminy oraz Wójta. </w:t>
      </w:r>
    </w:p>
    <w:p w:rsidR="0013082C" w:rsidRPr="0013082C" w:rsidRDefault="0013082C" w:rsidP="0013082C">
      <w:pPr>
        <w:spacing w:line="360" w:lineRule="auto"/>
        <w:jc w:val="both"/>
        <w:rPr>
          <w:rFonts w:ascii="Times New Roman" w:hAnsi="Times New Roman" w:cs="Times New Roman"/>
          <w:sz w:val="24"/>
          <w:szCs w:val="24"/>
        </w:rPr>
      </w:pPr>
      <w:r w:rsidRPr="0013082C">
        <w:rPr>
          <w:rFonts w:ascii="Times New Roman" w:hAnsi="Times New Roman" w:cs="Times New Roman"/>
          <w:sz w:val="24"/>
          <w:szCs w:val="24"/>
        </w:rPr>
        <w:t>8. Materiały reklamowe zakupione na potrzeby Urzędu Gminy w Damnicy</w:t>
      </w:r>
    </w:p>
    <w:p w:rsidR="000814EE" w:rsidRPr="0013082C" w:rsidRDefault="000814EE" w:rsidP="004137C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jc w:val="both"/>
        <w:rPr>
          <w:rFonts w:ascii="Times New Roman" w:hAnsi="Times New Roman" w:cs="Times New Roman"/>
          <w:sz w:val="24"/>
          <w:szCs w:val="24"/>
        </w:rPr>
      </w:pPr>
    </w:p>
    <w:sectPr w:rsidR="000814EE" w:rsidRPr="0013082C" w:rsidSect="008B5D03">
      <w:pgSz w:w="11906" w:h="16838"/>
      <w:pgMar w:top="1418" w:right="851" w:bottom="1418" w:left="1418" w:header="720" w:footer="72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880" w:rsidRDefault="00B71880" w:rsidP="008B5D03">
      <w:pPr>
        <w:spacing w:after="0" w:line="240" w:lineRule="auto"/>
      </w:pPr>
      <w:r>
        <w:separator/>
      </w:r>
    </w:p>
  </w:endnote>
  <w:endnote w:type="continuationSeparator" w:id="0">
    <w:p w:rsidR="00B71880" w:rsidRDefault="00B71880" w:rsidP="008B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880" w:rsidRDefault="00B71880" w:rsidP="008B5D03">
      <w:pPr>
        <w:spacing w:after="0" w:line="240" w:lineRule="auto"/>
      </w:pPr>
      <w:r>
        <w:separator/>
      </w:r>
    </w:p>
  </w:footnote>
  <w:footnote w:type="continuationSeparator" w:id="0">
    <w:p w:rsidR="00B71880" w:rsidRDefault="00B71880" w:rsidP="008B5D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bullet"/>
      <w:lvlText w:val=""/>
      <w:lvlJc w:val="left"/>
      <w:rPr>
        <w:rFonts w:ascii="Symbol" w:hAnsi="Symbol" w:cs="Symbol" w:hint="default"/>
        <w:b w:val="0"/>
        <w:bCs w:val="0"/>
        <w:i w:val="0"/>
        <w:iCs w:val="0"/>
        <w:strike w:val="0"/>
        <w:color w:val="auto"/>
        <w:sz w:val="24"/>
        <w:szCs w:val="24"/>
        <w:u w:val="none"/>
      </w:rPr>
    </w:lvl>
    <w:lvl w:ilvl="1">
      <w:start w:val="1"/>
      <w:numFmt w:val="bullet"/>
      <w:lvlText w:val=""/>
      <w:lvlJc w:val="left"/>
      <w:rPr>
        <w:rFonts w:ascii="Symbol" w:hAnsi="Symbol" w:cs="Symbol" w:hint="default"/>
        <w:b w:val="0"/>
        <w:bCs w:val="0"/>
        <w:i w:val="0"/>
        <w:iCs w:val="0"/>
        <w:strike w:val="0"/>
        <w:color w:val="auto"/>
        <w:sz w:val="24"/>
        <w:szCs w:val="24"/>
        <w:u w:val="none"/>
      </w:rPr>
    </w:lvl>
    <w:lvl w:ilvl="2">
      <w:start w:val="1"/>
      <w:numFmt w:val="bullet"/>
      <w:lvlText w:val=""/>
      <w:lvlJc w:val="left"/>
      <w:rPr>
        <w:rFonts w:ascii="Symbol" w:hAnsi="Symbol" w:cs="Symbol" w:hint="default"/>
        <w:b w:val="0"/>
        <w:bCs w:val="0"/>
        <w:i w:val="0"/>
        <w:iCs w:val="0"/>
        <w:strike w:val="0"/>
        <w:color w:val="auto"/>
        <w:sz w:val="24"/>
        <w:szCs w:val="24"/>
        <w:u w:val="none"/>
      </w:rPr>
    </w:lvl>
    <w:lvl w:ilvl="3">
      <w:start w:val="1"/>
      <w:numFmt w:val="bullet"/>
      <w:lvlText w:val=""/>
      <w:lvlJc w:val="left"/>
      <w:rPr>
        <w:rFonts w:ascii="Symbol" w:hAnsi="Symbol" w:cs="Symbol" w:hint="default"/>
        <w:b w:val="0"/>
        <w:bCs w:val="0"/>
        <w:i w:val="0"/>
        <w:iCs w:val="0"/>
        <w:strike w:val="0"/>
        <w:color w:val="auto"/>
        <w:sz w:val="24"/>
        <w:szCs w:val="24"/>
        <w:u w:val="none"/>
      </w:rPr>
    </w:lvl>
    <w:lvl w:ilvl="4">
      <w:start w:val="1"/>
      <w:numFmt w:val="bullet"/>
      <w:lvlText w:val=""/>
      <w:lvlJc w:val="left"/>
      <w:rPr>
        <w:rFonts w:ascii="Symbol" w:hAnsi="Symbol" w:cs="Symbol" w:hint="default"/>
        <w:b w:val="0"/>
        <w:bCs w:val="0"/>
        <w:i w:val="0"/>
        <w:iCs w:val="0"/>
        <w:strike w:val="0"/>
        <w:color w:val="auto"/>
        <w:sz w:val="24"/>
        <w:szCs w:val="24"/>
        <w:u w:val="none"/>
      </w:rPr>
    </w:lvl>
    <w:lvl w:ilvl="5">
      <w:start w:val="1"/>
      <w:numFmt w:val="bullet"/>
      <w:lvlText w:val=""/>
      <w:lvlJc w:val="left"/>
      <w:rPr>
        <w:rFonts w:ascii="Symbol" w:hAnsi="Symbol" w:cs="Symbol" w:hint="default"/>
        <w:b w:val="0"/>
        <w:bCs w:val="0"/>
        <w:i w:val="0"/>
        <w:iCs w:val="0"/>
        <w:strike w:val="0"/>
        <w:color w:val="auto"/>
        <w:sz w:val="24"/>
        <w:szCs w:val="24"/>
        <w:u w:val="none"/>
      </w:rPr>
    </w:lvl>
    <w:lvl w:ilvl="6">
      <w:start w:val="1"/>
      <w:numFmt w:val="bullet"/>
      <w:lvlText w:val=""/>
      <w:lvlJc w:val="left"/>
      <w:rPr>
        <w:rFonts w:ascii="Symbol" w:hAnsi="Symbol" w:cs="Symbol" w:hint="default"/>
        <w:b w:val="0"/>
        <w:bCs w:val="0"/>
        <w:i w:val="0"/>
        <w:iCs w:val="0"/>
        <w:strike w:val="0"/>
        <w:color w:val="auto"/>
        <w:sz w:val="24"/>
        <w:szCs w:val="24"/>
        <w:u w:val="none"/>
      </w:rPr>
    </w:lvl>
    <w:lvl w:ilvl="7">
      <w:start w:val="1"/>
      <w:numFmt w:val="bullet"/>
      <w:lvlText w:val=""/>
      <w:lvlJc w:val="left"/>
      <w:rPr>
        <w:rFonts w:ascii="Symbol" w:hAnsi="Symbol" w:cs="Symbol" w:hint="default"/>
        <w:b w:val="0"/>
        <w:bCs w:val="0"/>
        <w:i w:val="0"/>
        <w:iCs w:val="0"/>
        <w:strike w:val="0"/>
        <w:color w:val="auto"/>
        <w:sz w:val="24"/>
        <w:szCs w:val="24"/>
        <w:u w:val="none"/>
      </w:rPr>
    </w:lvl>
    <w:lvl w:ilvl="8">
      <w:start w:val="1"/>
      <w:numFmt w:val="bullet"/>
      <w:lvlText w:val=""/>
      <w:lvlJc w:val="left"/>
      <w:rPr>
        <w:rFonts w:ascii="Symbol" w:hAnsi="Symbol" w:cs="Symbol" w:hint="default"/>
        <w:b w:val="0"/>
        <w:bCs w:val="0"/>
        <w:i w:val="0"/>
        <w:iCs w:val="0"/>
        <w:strike w:val="0"/>
        <w:color w:val="auto"/>
        <w:sz w:val="24"/>
        <w:szCs w:val="24"/>
        <w:u w:val="none"/>
      </w:rPr>
    </w:lvl>
  </w:abstractNum>
  <w:abstractNum w:abstractNumId="1" w15:restartNumberingAfterBreak="0">
    <w:nsid w:val="02650BA5"/>
    <w:multiLevelType w:val="hybridMultilevel"/>
    <w:tmpl w:val="227A0EE4"/>
    <w:lvl w:ilvl="0" w:tplc="0415000B">
      <w:start w:val="1"/>
      <w:numFmt w:val="bullet"/>
      <w:lvlText w:val=""/>
      <w:lvlJc w:val="left"/>
      <w:pPr>
        <w:tabs>
          <w:tab w:val="num" w:pos="360"/>
        </w:tabs>
        <w:ind w:left="360" w:hanging="360"/>
      </w:pPr>
      <w:rPr>
        <w:rFonts w:ascii="Wingdings" w:hAnsi="Wingdings"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F29DD"/>
    <w:multiLevelType w:val="hybridMultilevel"/>
    <w:tmpl w:val="6DB05D1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58306F"/>
    <w:multiLevelType w:val="hybridMultilevel"/>
    <w:tmpl w:val="4ABC904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3941F8"/>
    <w:multiLevelType w:val="hybridMultilevel"/>
    <w:tmpl w:val="F516D180"/>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87005F"/>
    <w:multiLevelType w:val="hybridMultilevel"/>
    <w:tmpl w:val="C2BACF34"/>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AD2CBD"/>
    <w:multiLevelType w:val="hybridMultilevel"/>
    <w:tmpl w:val="EFF2CD1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BC2EEA"/>
    <w:multiLevelType w:val="hybridMultilevel"/>
    <w:tmpl w:val="2C2AA772"/>
    <w:lvl w:ilvl="0" w:tplc="0415000B">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2A44D90"/>
    <w:multiLevelType w:val="hybridMultilevel"/>
    <w:tmpl w:val="B144293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26542F"/>
    <w:multiLevelType w:val="hybridMultilevel"/>
    <w:tmpl w:val="A5DA3CC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1D44A0"/>
    <w:multiLevelType w:val="hybridMultilevel"/>
    <w:tmpl w:val="E6AE1D0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A318BE"/>
    <w:multiLevelType w:val="hybridMultilevel"/>
    <w:tmpl w:val="AC746E52"/>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924C03"/>
    <w:multiLevelType w:val="hybridMultilevel"/>
    <w:tmpl w:val="C55E25B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805818"/>
    <w:multiLevelType w:val="hybridMultilevel"/>
    <w:tmpl w:val="A492040C"/>
    <w:lvl w:ilvl="0" w:tplc="0415000B">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6F8466F6"/>
    <w:multiLevelType w:val="hybridMultilevel"/>
    <w:tmpl w:val="5EB2554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C60599"/>
    <w:multiLevelType w:val="hybridMultilevel"/>
    <w:tmpl w:val="BC882312"/>
    <w:lvl w:ilvl="0" w:tplc="0415000B">
      <w:start w:val="1"/>
      <w:numFmt w:val="bullet"/>
      <w:lvlText w:val=""/>
      <w:lvlJc w:val="left"/>
      <w:pPr>
        <w:tabs>
          <w:tab w:val="num" w:pos="360"/>
        </w:tabs>
        <w:ind w:left="360" w:hanging="360"/>
      </w:pPr>
      <w:rPr>
        <w:rFonts w:ascii="Wingdings" w:hAnsi="Wingdings" w:hint="default"/>
      </w:rPr>
    </w:lvl>
    <w:lvl w:ilvl="1" w:tplc="04150009">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36313E"/>
    <w:multiLevelType w:val="hybridMultilevel"/>
    <w:tmpl w:val="4D066A92"/>
    <w:lvl w:ilvl="0" w:tplc="0415000B">
      <w:start w:val="1"/>
      <w:numFmt w:val="bullet"/>
      <w:lvlText w:val=""/>
      <w:lvlJc w:val="left"/>
      <w:pPr>
        <w:tabs>
          <w:tab w:val="num" w:pos="1080"/>
        </w:tabs>
        <w:ind w:left="1080" w:hanging="360"/>
      </w:pPr>
      <w:rPr>
        <w:rFonts w:ascii="Wingdings" w:hAnsi="Wingdings" w:hint="default"/>
      </w:rPr>
    </w:lvl>
    <w:lvl w:ilvl="1" w:tplc="0415000F">
      <w:start w:val="1"/>
      <w:numFmt w:val="decimal"/>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B0C4589"/>
    <w:multiLevelType w:val="hybridMultilevel"/>
    <w:tmpl w:val="BE96167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E222964"/>
    <w:multiLevelType w:val="hybridMultilevel"/>
    <w:tmpl w:val="22DE1326"/>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FEB2CFB"/>
    <w:multiLevelType w:val="hybridMultilevel"/>
    <w:tmpl w:val="A3E4D94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9"/>
  </w:num>
  <w:num w:numId="3">
    <w:abstractNumId w:val="16"/>
  </w:num>
  <w:num w:numId="4">
    <w:abstractNumId w:val="11"/>
  </w:num>
  <w:num w:numId="5">
    <w:abstractNumId w:val="8"/>
  </w:num>
  <w:num w:numId="6">
    <w:abstractNumId w:val="7"/>
  </w:num>
  <w:num w:numId="7">
    <w:abstractNumId w:val="18"/>
  </w:num>
  <w:num w:numId="8">
    <w:abstractNumId w:val="12"/>
  </w:num>
  <w:num w:numId="9">
    <w:abstractNumId w:val="9"/>
  </w:num>
  <w:num w:numId="10">
    <w:abstractNumId w:val="6"/>
  </w:num>
  <w:num w:numId="11">
    <w:abstractNumId w:val="2"/>
  </w:num>
  <w:num w:numId="12">
    <w:abstractNumId w:val="1"/>
  </w:num>
  <w:num w:numId="13">
    <w:abstractNumId w:val="3"/>
  </w:num>
  <w:num w:numId="14">
    <w:abstractNumId w:val="5"/>
  </w:num>
  <w:num w:numId="15">
    <w:abstractNumId w:val="4"/>
  </w:num>
  <w:num w:numId="16">
    <w:abstractNumId w:val="14"/>
  </w:num>
  <w:num w:numId="17">
    <w:abstractNumId w:val="13"/>
  </w:num>
  <w:num w:numId="18">
    <w:abstractNumId w:val="10"/>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2B8"/>
    <w:rsid w:val="00003631"/>
    <w:rsid w:val="000048F1"/>
    <w:rsid w:val="0000782B"/>
    <w:rsid w:val="00011DB3"/>
    <w:rsid w:val="00013159"/>
    <w:rsid w:val="0001470E"/>
    <w:rsid w:val="000154FF"/>
    <w:rsid w:val="00017133"/>
    <w:rsid w:val="00022406"/>
    <w:rsid w:val="0002490C"/>
    <w:rsid w:val="00032A65"/>
    <w:rsid w:val="00056A6C"/>
    <w:rsid w:val="00061724"/>
    <w:rsid w:val="00073BD3"/>
    <w:rsid w:val="000814EE"/>
    <w:rsid w:val="00082BDB"/>
    <w:rsid w:val="00084029"/>
    <w:rsid w:val="00086201"/>
    <w:rsid w:val="00094E76"/>
    <w:rsid w:val="000A1F0E"/>
    <w:rsid w:val="000A2F5D"/>
    <w:rsid w:val="000A33EE"/>
    <w:rsid w:val="000A5300"/>
    <w:rsid w:val="000B6A98"/>
    <w:rsid w:val="000C0CFD"/>
    <w:rsid w:val="000D2BBD"/>
    <w:rsid w:val="000D4F56"/>
    <w:rsid w:val="000D504C"/>
    <w:rsid w:val="000F139F"/>
    <w:rsid w:val="0010305A"/>
    <w:rsid w:val="001223E5"/>
    <w:rsid w:val="0012407A"/>
    <w:rsid w:val="0012791C"/>
    <w:rsid w:val="0013082C"/>
    <w:rsid w:val="00132602"/>
    <w:rsid w:val="00137886"/>
    <w:rsid w:val="001414F7"/>
    <w:rsid w:val="001415CE"/>
    <w:rsid w:val="001465E6"/>
    <w:rsid w:val="0015218C"/>
    <w:rsid w:val="001537C7"/>
    <w:rsid w:val="001542B5"/>
    <w:rsid w:val="00162AF7"/>
    <w:rsid w:val="0017344D"/>
    <w:rsid w:val="00174028"/>
    <w:rsid w:val="001875CD"/>
    <w:rsid w:val="0019375F"/>
    <w:rsid w:val="00194BCF"/>
    <w:rsid w:val="001A0634"/>
    <w:rsid w:val="001A15E6"/>
    <w:rsid w:val="001A6A32"/>
    <w:rsid w:val="001B43D4"/>
    <w:rsid w:val="001B51EE"/>
    <w:rsid w:val="001B59F6"/>
    <w:rsid w:val="001C5DBC"/>
    <w:rsid w:val="001C70A6"/>
    <w:rsid w:val="001D2BDC"/>
    <w:rsid w:val="001E134A"/>
    <w:rsid w:val="001E5E3E"/>
    <w:rsid w:val="001E71FC"/>
    <w:rsid w:val="001F4317"/>
    <w:rsid w:val="001F4914"/>
    <w:rsid w:val="002048FB"/>
    <w:rsid w:val="00207899"/>
    <w:rsid w:val="00215154"/>
    <w:rsid w:val="002169DE"/>
    <w:rsid w:val="00220251"/>
    <w:rsid w:val="00223CE1"/>
    <w:rsid w:val="002304A5"/>
    <w:rsid w:val="00230A54"/>
    <w:rsid w:val="00235993"/>
    <w:rsid w:val="00235D6B"/>
    <w:rsid w:val="002417CB"/>
    <w:rsid w:val="00243204"/>
    <w:rsid w:val="00244587"/>
    <w:rsid w:val="002464F8"/>
    <w:rsid w:val="0024768D"/>
    <w:rsid w:val="00253D42"/>
    <w:rsid w:val="0025714B"/>
    <w:rsid w:val="00263053"/>
    <w:rsid w:val="00264344"/>
    <w:rsid w:val="00265206"/>
    <w:rsid w:val="0026597C"/>
    <w:rsid w:val="00266C49"/>
    <w:rsid w:val="00270E24"/>
    <w:rsid w:val="002802DF"/>
    <w:rsid w:val="002811A0"/>
    <w:rsid w:val="00281DC9"/>
    <w:rsid w:val="00283449"/>
    <w:rsid w:val="002905DC"/>
    <w:rsid w:val="00294808"/>
    <w:rsid w:val="00296A85"/>
    <w:rsid w:val="002A0C37"/>
    <w:rsid w:val="002A3D41"/>
    <w:rsid w:val="002B1DEF"/>
    <w:rsid w:val="002B7575"/>
    <w:rsid w:val="002C18C9"/>
    <w:rsid w:val="002C2CB9"/>
    <w:rsid w:val="002C4394"/>
    <w:rsid w:val="002C7B87"/>
    <w:rsid w:val="002D6652"/>
    <w:rsid w:val="002E3CBF"/>
    <w:rsid w:val="002F0356"/>
    <w:rsid w:val="00304295"/>
    <w:rsid w:val="00310F17"/>
    <w:rsid w:val="00320D53"/>
    <w:rsid w:val="00327AC3"/>
    <w:rsid w:val="00342513"/>
    <w:rsid w:val="00342AC4"/>
    <w:rsid w:val="00346CAE"/>
    <w:rsid w:val="00347D41"/>
    <w:rsid w:val="00362581"/>
    <w:rsid w:val="0036760B"/>
    <w:rsid w:val="003705A8"/>
    <w:rsid w:val="00374DA1"/>
    <w:rsid w:val="0037662E"/>
    <w:rsid w:val="0038211E"/>
    <w:rsid w:val="00384F4E"/>
    <w:rsid w:val="003900AA"/>
    <w:rsid w:val="003961CC"/>
    <w:rsid w:val="003A5D52"/>
    <w:rsid w:val="003B2F5D"/>
    <w:rsid w:val="003B3FAE"/>
    <w:rsid w:val="003D3695"/>
    <w:rsid w:val="003D72EB"/>
    <w:rsid w:val="003D7627"/>
    <w:rsid w:val="003E6AEC"/>
    <w:rsid w:val="004137C6"/>
    <w:rsid w:val="004149BD"/>
    <w:rsid w:val="00415B58"/>
    <w:rsid w:val="004247D1"/>
    <w:rsid w:val="004307A6"/>
    <w:rsid w:val="00431388"/>
    <w:rsid w:val="00431590"/>
    <w:rsid w:val="00432A88"/>
    <w:rsid w:val="00432D58"/>
    <w:rsid w:val="00433A3F"/>
    <w:rsid w:val="00435A82"/>
    <w:rsid w:val="00440A0D"/>
    <w:rsid w:val="00446C8C"/>
    <w:rsid w:val="00475185"/>
    <w:rsid w:val="00475284"/>
    <w:rsid w:val="004772EC"/>
    <w:rsid w:val="004903C6"/>
    <w:rsid w:val="004968D5"/>
    <w:rsid w:val="00497350"/>
    <w:rsid w:val="004A519C"/>
    <w:rsid w:val="004C77FB"/>
    <w:rsid w:val="004D19FD"/>
    <w:rsid w:val="004D4093"/>
    <w:rsid w:val="004D4770"/>
    <w:rsid w:val="004D68A2"/>
    <w:rsid w:val="004F2843"/>
    <w:rsid w:val="004F2F64"/>
    <w:rsid w:val="004F48F7"/>
    <w:rsid w:val="0050143B"/>
    <w:rsid w:val="00503486"/>
    <w:rsid w:val="005060A7"/>
    <w:rsid w:val="005160C7"/>
    <w:rsid w:val="00524950"/>
    <w:rsid w:val="00526C26"/>
    <w:rsid w:val="0052717B"/>
    <w:rsid w:val="005312B6"/>
    <w:rsid w:val="00542390"/>
    <w:rsid w:val="005425BC"/>
    <w:rsid w:val="00542F40"/>
    <w:rsid w:val="00545D62"/>
    <w:rsid w:val="00561574"/>
    <w:rsid w:val="00562BBB"/>
    <w:rsid w:val="005645E3"/>
    <w:rsid w:val="005661EB"/>
    <w:rsid w:val="005713D1"/>
    <w:rsid w:val="005768C1"/>
    <w:rsid w:val="00581658"/>
    <w:rsid w:val="00590EB8"/>
    <w:rsid w:val="00591157"/>
    <w:rsid w:val="00594633"/>
    <w:rsid w:val="005A2443"/>
    <w:rsid w:val="005A26E0"/>
    <w:rsid w:val="005A5B7A"/>
    <w:rsid w:val="005B0AA2"/>
    <w:rsid w:val="005B2106"/>
    <w:rsid w:val="005B31AD"/>
    <w:rsid w:val="005D4796"/>
    <w:rsid w:val="005E2591"/>
    <w:rsid w:val="005E2ADD"/>
    <w:rsid w:val="005E3897"/>
    <w:rsid w:val="005F7CEB"/>
    <w:rsid w:val="0060141C"/>
    <w:rsid w:val="0060401F"/>
    <w:rsid w:val="00610ACF"/>
    <w:rsid w:val="00612B5B"/>
    <w:rsid w:val="00621B75"/>
    <w:rsid w:val="006410A6"/>
    <w:rsid w:val="00643506"/>
    <w:rsid w:val="00643DC5"/>
    <w:rsid w:val="0064633E"/>
    <w:rsid w:val="006555FE"/>
    <w:rsid w:val="00666906"/>
    <w:rsid w:val="00670070"/>
    <w:rsid w:val="00677BFA"/>
    <w:rsid w:val="00677CCC"/>
    <w:rsid w:val="00680CC2"/>
    <w:rsid w:val="00687668"/>
    <w:rsid w:val="006A04EE"/>
    <w:rsid w:val="006A182E"/>
    <w:rsid w:val="006A6D14"/>
    <w:rsid w:val="006A7B4D"/>
    <w:rsid w:val="006B3A2E"/>
    <w:rsid w:val="006B7257"/>
    <w:rsid w:val="006C1705"/>
    <w:rsid w:val="006D323C"/>
    <w:rsid w:val="006E40BD"/>
    <w:rsid w:val="006E73C0"/>
    <w:rsid w:val="006F161F"/>
    <w:rsid w:val="006F1C39"/>
    <w:rsid w:val="0070276F"/>
    <w:rsid w:val="00706354"/>
    <w:rsid w:val="00711DB1"/>
    <w:rsid w:val="00714231"/>
    <w:rsid w:val="00723C82"/>
    <w:rsid w:val="007279D6"/>
    <w:rsid w:val="007329A3"/>
    <w:rsid w:val="00743753"/>
    <w:rsid w:val="00744E8B"/>
    <w:rsid w:val="00747B73"/>
    <w:rsid w:val="00750FCE"/>
    <w:rsid w:val="0075205D"/>
    <w:rsid w:val="00752825"/>
    <w:rsid w:val="0075515E"/>
    <w:rsid w:val="00761E98"/>
    <w:rsid w:val="00766192"/>
    <w:rsid w:val="00766E06"/>
    <w:rsid w:val="00766E3E"/>
    <w:rsid w:val="0077735B"/>
    <w:rsid w:val="00785DCD"/>
    <w:rsid w:val="007A14CC"/>
    <w:rsid w:val="007A5201"/>
    <w:rsid w:val="007C171D"/>
    <w:rsid w:val="007C2634"/>
    <w:rsid w:val="007C49C7"/>
    <w:rsid w:val="007D2ED2"/>
    <w:rsid w:val="007D3BCD"/>
    <w:rsid w:val="007D63F4"/>
    <w:rsid w:val="007E1146"/>
    <w:rsid w:val="007E48E5"/>
    <w:rsid w:val="007E5156"/>
    <w:rsid w:val="007E736F"/>
    <w:rsid w:val="007F6AC9"/>
    <w:rsid w:val="00800302"/>
    <w:rsid w:val="008071D7"/>
    <w:rsid w:val="00810C1D"/>
    <w:rsid w:val="00815FAF"/>
    <w:rsid w:val="00816ACB"/>
    <w:rsid w:val="008260BB"/>
    <w:rsid w:val="00827840"/>
    <w:rsid w:val="008325C0"/>
    <w:rsid w:val="008366CA"/>
    <w:rsid w:val="008412F9"/>
    <w:rsid w:val="008536AE"/>
    <w:rsid w:val="00855D2A"/>
    <w:rsid w:val="00857D15"/>
    <w:rsid w:val="00860D22"/>
    <w:rsid w:val="00864FDA"/>
    <w:rsid w:val="00866AD7"/>
    <w:rsid w:val="0087155E"/>
    <w:rsid w:val="00885D8E"/>
    <w:rsid w:val="00887CE0"/>
    <w:rsid w:val="008A4EC7"/>
    <w:rsid w:val="008B3B56"/>
    <w:rsid w:val="008B5D03"/>
    <w:rsid w:val="008B720C"/>
    <w:rsid w:val="008B7B49"/>
    <w:rsid w:val="008D2C5E"/>
    <w:rsid w:val="008E0E00"/>
    <w:rsid w:val="008E3D71"/>
    <w:rsid w:val="008E402C"/>
    <w:rsid w:val="008E7672"/>
    <w:rsid w:val="008F13CE"/>
    <w:rsid w:val="008F2384"/>
    <w:rsid w:val="008F4421"/>
    <w:rsid w:val="008F6865"/>
    <w:rsid w:val="00901058"/>
    <w:rsid w:val="00903608"/>
    <w:rsid w:val="009066BF"/>
    <w:rsid w:val="00917815"/>
    <w:rsid w:val="00920AF1"/>
    <w:rsid w:val="00921F7A"/>
    <w:rsid w:val="009239D1"/>
    <w:rsid w:val="0092487F"/>
    <w:rsid w:val="00925C41"/>
    <w:rsid w:val="00927FBB"/>
    <w:rsid w:val="009326A5"/>
    <w:rsid w:val="009448C2"/>
    <w:rsid w:val="00944D90"/>
    <w:rsid w:val="009455FE"/>
    <w:rsid w:val="00950557"/>
    <w:rsid w:val="00956E4F"/>
    <w:rsid w:val="009646B8"/>
    <w:rsid w:val="0096519C"/>
    <w:rsid w:val="009666E4"/>
    <w:rsid w:val="00971EE9"/>
    <w:rsid w:val="00982008"/>
    <w:rsid w:val="00987A07"/>
    <w:rsid w:val="00997028"/>
    <w:rsid w:val="009B0C25"/>
    <w:rsid w:val="009B4BEB"/>
    <w:rsid w:val="009D1BB9"/>
    <w:rsid w:val="009D2EE8"/>
    <w:rsid w:val="009D4F70"/>
    <w:rsid w:val="009E305B"/>
    <w:rsid w:val="00A008E5"/>
    <w:rsid w:val="00A03AAD"/>
    <w:rsid w:val="00A0465A"/>
    <w:rsid w:val="00A14DB2"/>
    <w:rsid w:val="00A30A65"/>
    <w:rsid w:val="00A3171B"/>
    <w:rsid w:val="00A35E28"/>
    <w:rsid w:val="00A369C8"/>
    <w:rsid w:val="00A4013E"/>
    <w:rsid w:val="00A53A5B"/>
    <w:rsid w:val="00A5561E"/>
    <w:rsid w:val="00A6399F"/>
    <w:rsid w:val="00A64E87"/>
    <w:rsid w:val="00A77503"/>
    <w:rsid w:val="00A84666"/>
    <w:rsid w:val="00A8645D"/>
    <w:rsid w:val="00AA04ED"/>
    <w:rsid w:val="00AB4AA6"/>
    <w:rsid w:val="00AB7EE9"/>
    <w:rsid w:val="00AC769E"/>
    <w:rsid w:val="00AE1AD2"/>
    <w:rsid w:val="00AE52CD"/>
    <w:rsid w:val="00AF03BB"/>
    <w:rsid w:val="00AF3249"/>
    <w:rsid w:val="00AF363E"/>
    <w:rsid w:val="00AF7C57"/>
    <w:rsid w:val="00B01DD1"/>
    <w:rsid w:val="00B02934"/>
    <w:rsid w:val="00B02E91"/>
    <w:rsid w:val="00B13125"/>
    <w:rsid w:val="00B162CF"/>
    <w:rsid w:val="00B173B0"/>
    <w:rsid w:val="00B22254"/>
    <w:rsid w:val="00B27B58"/>
    <w:rsid w:val="00B321AB"/>
    <w:rsid w:val="00B37A99"/>
    <w:rsid w:val="00B51D9C"/>
    <w:rsid w:val="00B52663"/>
    <w:rsid w:val="00B54A66"/>
    <w:rsid w:val="00B60BCC"/>
    <w:rsid w:val="00B62A8C"/>
    <w:rsid w:val="00B6429D"/>
    <w:rsid w:val="00B70CD1"/>
    <w:rsid w:val="00B71880"/>
    <w:rsid w:val="00B74E79"/>
    <w:rsid w:val="00B80E59"/>
    <w:rsid w:val="00B8350A"/>
    <w:rsid w:val="00B84B90"/>
    <w:rsid w:val="00B8686C"/>
    <w:rsid w:val="00B90BB4"/>
    <w:rsid w:val="00B921E8"/>
    <w:rsid w:val="00BA7642"/>
    <w:rsid w:val="00BB011A"/>
    <w:rsid w:val="00BB3960"/>
    <w:rsid w:val="00BB505C"/>
    <w:rsid w:val="00BC187D"/>
    <w:rsid w:val="00BC2C1D"/>
    <w:rsid w:val="00BC2C68"/>
    <w:rsid w:val="00BC52B7"/>
    <w:rsid w:val="00BD0AC9"/>
    <w:rsid w:val="00BD3EEC"/>
    <w:rsid w:val="00BD7580"/>
    <w:rsid w:val="00BE59A1"/>
    <w:rsid w:val="00BF23F5"/>
    <w:rsid w:val="00BF3435"/>
    <w:rsid w:val="00BF7EA5"/>
    <w:rsid w:val="00C32CCC"/>
    <w:rsid w:val="00C37A88"/>
    <w:rsid w:val="00C470E4"/>
    <w:rsid w:val="00C54822"/>
    <w:rsid w:val="00C56EDB"/>
    <w:rsid w:val="00C60616"/>
    <w:rsid w:val="00C644D0"/>
    <w:rsid w:val="00C65341"/>
    <w:rsid w:val="00C85966"/>
    <w:rsid w:val="00C85E15"/>
    <w:rsid w:val="00C86E5F"/>
    <w:rsid w:val="00C87C23"/>
    <w:rsid w:val="00C91D67"/>
    <w:rsid w:val="00C92B67"/>
    <w:rsid w:val="00C9686E"/>
    <w:rsid w:val="00CA2461"/>
    <w:rsid w:val="00CA3F13"/>
    <w:rsid w:val="00CA4CA4"/>
    <w:rsid w:val="00CA58BF"/>
    <w:rsid w:val="00CB25AC"/>
    <w:rsid w:val="00CB38B1"/>
    <w:rsid w:val="00CC3996"/>
    <w:rsid w:val="00CC45C2"/>
    <w:rsid w:val="00CC5ECB"/>
    <w:rsid w:val="00CC6CCD"/>
    <w:rsid w:val="00CD45FF"/>
    <w:rsid w:val="00CE07EF"/>
    <w:rsid w:val="00CE2865"/>
    <w:rsid w:val="00CE5613"/>
    <w:rsid w:val="00CF1F47"/>
    <w:rsid w:val="00CF66FD"/>
    <w:rsid w:val="00CF7A68"/>
    <w:rsid w:val="00D13FDC"/>
    <w:rsid w:val="00D202E5"/>
    <w:rsid w:val="00D21C62"/>
    <w:rsid w:val="00D23576"/>
    <w:rsid w:val="00D25402"/>
    <w:rsid w:val="00D40119"/>
    <w:rsid w:val="00D44049"/>
    <w:rsid w:val="00D448CA"/>
    <w:rsid w:val="00D46B37"/>
    <w:rsid w:val="00D50685"/>
    <w:rsid w:val="00D56BAF"/>
    <w:rsid w:val="00D804E0"/>
    <w:rsid w:val="00D8170C"/>
    <w:rsid w:val="00D84F87"/>
    <w:rsid w:val="00D853CE"/>
    <w:rsid w:val="00D86F92"/>
    <w:rsid w:val="00D8716E"/>
    <w:rsid w:val="00D87DD2"/>
    <w:rsid w:val="00D96993"/>
    <w:rsid w:val="00D9766D"/>
    <w:rsid w:val="00DA32AC"/>
    <w:rsid w:val="00DB77A4"/>
    <w:rsid w:val="00DC127E"/>
    <w:rsid w:val="00DC17B2"/>
    <w:rsid w:val="00DC18BE"/>
    <w:rsid w:val="00DC6329"/>
    <w:rsid w:val="00DD051F"/>
    <w:rsid w:val="00DD590E"/>
    <w:rsid w:val="00DE2B01"/>
    <w:rsid w:val="00DE7743"/>
    <w:rsid w:val="00DE7FF4"/>
    <w:rsid w:val="00DF01CB"/>
    <w:rsid w:val="00DF5C76"/>
    <w:rsid w:val="00E00415"/>
    <w:rsid w:val="00E21014"/>
    <w:rsid w:val="00E265BC"/>
    <w:rsid w:val="00E33210"/>
    <w:rsid w:val="00E35428"/>
    <w:rsid w:val="00E47474"/>
    <w:rsid w:val="00E52798"/>
    <w:rsid w:val="00E54864"/>
    <w:rsid w:val="00E558D0"/>
    <w:rsid w:val="00E61AD2"/>
    <w:rsid w:val="00E62028"/>
    <w:rsid w:val="00E62881"/>
    <w:rsid w:val="00E63C5E"/>
    <w:rsid w:val="00E80003"/>
    <w:rsid w:val="00E92611"/>
    <w:rsid w:val="00E97106"/>
    <w:rsid w:val="00EB01FE"/>
    <w:rsid w:val="00EC00D3"/>
    <w:rsid w:val="00EC02B8"/>
    <w:rsid w:val="00EC748A"/>
    <w:rsid w:val="00ED1709"/>
    <w:rsid w:val="00ED1E68"/>
    <w:rsid w:val="00ED7961"/>
    <w:rsid w:val="00EE4521"/>
    <w:rsid w:val="00EE498B"/>
    <w:rsid w:val="00EE725E"/>
    <w:rsid w:val="00EF0813"/>
    <w:rsid w:val="00EF2351"/>
    <w:rsid w:val="00EF6C3C"/>
    <w:rsid w:val="00F042ED"/>
    <w:rsid w:val="00F149A2"/>
    <w:rsid w:val="00F17557"/>
    <w:rsid w:val="00F17ACD"/>
    <w:rsid w:val="00F20C36"/>
    <w:rsid w:val="00F228EB"/>
    <w:rsid w:val="00F263D1"/>
    <w:rsid w:val="00F27BD9"/>
    <w:rsid w:val="00F33942"/>
    <w:rsid w:val="00F407AA"/>
    <w:rsid w:val="00F429F4"/>
    <w:rsid w:val="00F46EE4"/>
    <w:rsid w:val="00F7139D"/>
    <w:rsid w:val="00F81590"/>
    <w:rsid w:val="00F949C8"/>
    <w:rsid w:val="00FA7DFD"/>
    <w:rsid w:val="00FB69BA"/>
    <w:rsid w:val="00FC1C1D"/>
    <w:rsid w:val="00FC58E1"/>
    <w:rsid w:val="00FC6E18"/>
    <w:rsid w:val="00FD0180"/>
    <w:rsid w:val="00FD20CE"/>
    <w:rsid w:val="00FD4444"/>
    <w:rsid w:val="00FE7E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C46F68-BE68-40EB-A856-C9C87918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802DF"/>
    <w:rPr>
      <w:sz w:val="16"/>
      <w:szCs w:val="16"/>
    </w:rPr>
  </w:style>
  <w:style w:type="paragraph" w:styleId="Tekstkomentarza">
    <w:name w:val="annotation text"/>
    <w:basedOn w:val="Normalny"/>
    <w:link w:val="TekstkomentarzaZnak"/>
    <w:uiPriority w:val="99"/>
    <w:semiHidden/>
    <w:unhideWhenUsed/>
    <w:rsid w:val="002802D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802DF"/>
    <w:rPr>
      <w:sz w:val="20"/>
      <w:szCs w:val="20"/>
    </w:rPr>
  </w:style>
  <w:style w:type="paragraph" w:styleId="Tematkomentarza">
    <w:name w:val="annotation subject"/>
    <w:basedOn w:val="Tekstkomentarza"/>
    <w:next w:val="Tekstkomentarza"/>
    <w:link w:val="TematkomentarzaZnak"/>
    <w:uiPriority w:val="99"/>
    <w:semiHidden/>
    <w:unhideWhenUsed/>
    <w:rsid w:val="002802DF"/>
    <w:rPr>
      <w:b/>
      <w:bCs/>
    </w:rPr>
  </w:style>
  <w:style w:type="character" w:customStyle="1" w:styleId="TematkomentarzaZnak">
    <w:name w:val="Temat komentarza Znak"/>
    <w:basedOn w:val="TekstkomentarzaZnak"/>
    <w:link w:val="Tematkomentarza"/>
    <w:uiPriority w:val="99"/>
    <w:semiHidden/>
    <w:rsid w:val="002802DF"/>
    <w:rPr>
      <w:b/>
      <w:bCs/>
      <w:sz w:val="20"/>
      <w:szCs w:val="20"/>
    </w:rPr>
  </w:style>
  <w:style w:type="paragraph" w:styleId="Tekstdymka">
    <w:name w:val="Balloon Text"/>
    <w:basedOn w:val="Normalny"/>
    <w:link w:val="TekstdymkaZnak"/>
    <w:uiPriority w:val="99"/>
    <w:semiHidden/>
    <w:unhideWhenUsed/>
    <w:rsid w:val="002802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802DF"/>
    <w:rPr>
      <w:rFonts w:ascii="Tahoma" w:hAnsi="Tahoma" w:cs="Tahoma"/>
      <w:sz w:val="16"/>
      <w:szCs w:val="16"/>
    </w:rPr>
  </w:style>
  <w:style w:type="paragraph" w:styleId="Tekstprzypisudolnego">
    <w:name w:val="footnote text"/>
    <w:basedOn w:val="Normalny"/>
    <w:link w:val="TekstprzypisudolnegoZnak"/>
    <w:uiPriority w:val="99"/>
    <w:semiHidden/>
    <w:unhideWhenUsed/>
    <w:rsid w:val="008B5D0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B5D03"/>
    <w:rPr>
      <w:sz w:val="20"/>
      <w:szCs w:val="20"/>
    </w:rPr>
  </w:style>
  <w:style w:type="character" w:styleId="Odwoanieprzypisudolnego">
    <w:name w:val="footnote reference"/>
    <w:basedOn w:val="Domylnaczcionkaakapitu"/>
    <w:uiPriority w:val="99"/>
    <w:semiHidden/>
    <w:unhideWhenUsed/>
    <w:rsid w:val="008B5D03"/>
    <w:rPr>
      <w:vertAlign w:val="superscript"/>
    </w:rPr>
  </w:style>
  <w:style w:type="paragraph" w:styleId="Akapitzlist">
    <w:name w:val="List Paragraph"/>
    <w:basedOn w:val="Normalny"/>
    <w:uiPriority w:val="34"/>
    <w:qFormat/>
    <w:rsid w:val="003B3FAE"/>
    <w:pPr>
      <w:ind w:left="720"/>
      <w:contextualSpacing/>
    </w:pPr>
  </w:style>
  <w:style w:type="paragraph" w:customStyle="1" w:styleId="sdfootnote">
    <w:name w:val="sdfootnote"/>
    <w:basedOn w:val="Normalny"/>
    <w:rsid w:val="000154FF"/>
    <w:pPr>
      <w:spacing w:before="100" w:beforeAutospacing="1" w:after="0" w:line="240" w:lineRule="auto"/>
      <w:ind w:left="340" w:hanging="340"/>
    </w:pPr>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5425B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425BC"/>
    <w:rPr>
      <w:sz w:val="20"/>
      <w:szCs w:val="20"/>
    </w:rPr>
  </w:style>
  <w:style w:type="character" w:styleId="Odwoanieprzypisukocowego">
    <w:name w:val="endnote reference"/>
    <w:basedOn w:val="Domylnaczcionkaakapitu"/>
    <w:uiPriority w:val="99"/>
    <w:semiHidden/>
    <w:unhideWhenUsed/>
    <w:rsid w:val="005425BC"/>
    <w:rPr>
      <w:vertAlign w:val="superscript"/>
    </w:rPr>
  </w:style>
  <w:style w:type="table" w:styleId="Tabela-Siatka">
    <w:name w:val="Table Grid"/>
    <w:basedOn w:val="Standardowy"/>
    <w:uiPriority w:val="39"/>
    <w:rsid w:val="004C77F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37C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E1AD2"/>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715405">
      <w:bodyDiv w:val="1"/>
      <w:marLeft w:val="0"/>
      <w:marRight w:val="0"/>
      <w:marTop w:val="0"/>
      <w:marBottom w:val="0"/>
      <w:divBdr>
        <w:top w:val="none" w:sz="0" w:space="0" w:color="auto"/>
        <w:left w:val="none" w:sz="0" w:space="0" w:color="auto"/>
        <w:bottom w:val="none" w:sz="0" w:space="0" w:color="auto"/>
        <w:right w:val="none" w:sz="0" w:space="0" w:color="auto"/>
      </w:divBdr>
    </w:div>
    <w:div w:id="187291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4E5A9-E5A6-4DC0-BF64-C03A1FCB7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5406</Words>
  <Characters>32437</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37768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Danuta Cybula</cp:lastModifiedBy>
  <cp:revision>2</cp:revision>
  <cp:lastPrinted>2024-04-25T12:45:00Z</cp:lastPrinted>
  <dcterms:created xsi:type="dcterms:W3CDTF">2024-04-29T10:15:00Z</dcterms:created>
  <dcterms:modified xsi:type="dcterms:W3CDTF">2024-04-29T10:15:00Z</dcterms:modified>
</cp:coreProperties>
</file>